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bidi w:val="0"/>
        <w:spacing w:before="200" w:after="120"/>
        <w:jc w:val="left"/>
        <w:rPr/>
      </w:pPr>
      <w:r>
        <w:rPr/>
        <w:t>Étape 1 : Présentation des menus et de l’interface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Navigation :</w:t>
      </w:r>
      <w:r>
        <w:rPr/>
        <w:t xml:space="preserve"> Redirection automatique après la connexion.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Page :</w:t>
      </w:r>
      <w:r>
        <w:rPr/>
        <w:t xml:space="preserve"> [Dashboard / Tableau de bord]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Actions :</w:t>
      </w:r>
      <w:r>
        <w:rPr/>
        <w:t xml:space="preserve"> </w:t>
      </w:r>
    </w:p>
    <w:p>
      <w:pPr>
        <w:pStyle w:val="TextBody"/>
        <w:numPr>
          <w:ilvl w:val="1"/>
          <w:numId w:val="1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 xml:space="preserve">Vous trouverez, à gauche, les différents menus permettant d’accéder aux fonctionnalités de la plateforme. </w:t>
      </w:r>
    </w:p>
    <w:p>
      <w:pPr>
        <w:pStyle w:val="TextBody"/>
        <w:numPr>
          <w:ilvl w:val="1"/>
          <w:numId w:val="1"/>
        </w:numPr>
        <w:tabs>
          <w:tab w:val="clear" w:pos="709"/>
          <w:tab w:val="left" w:pos="1418" w:leader="none"/>
        </w:tabs>
        <w:bidi w:val="0"/>
        <w:ind w:left="1418" w:hanging="283"/>
        <w:jc w:val="left"/>
        <w:rPr/>
      </w:pPr>
      <w:r>
        <w:rPr/>
        <w:t xml:space="preserve">Utilisez ces menus pour naviguer entre les modules : ventes, contacts, boutiques, statistiques, paramètres, etc. </w:t>
      </w:r>
    </w:p>
    <w:p>
      <w:pPr>
        <w:pStyle w:val="HorizontalLine"/>
        <w:bidi w:val="0"/>
        <w:jc w:val="left"/>
        <w:rPr/>
      </w:pPr>
      <w:r>
        <w:rPr/>
      </w:r>
    </w:p>
    <w:p>
      <w:pPr>
        <w:pStyle w:val="Heading2"/>
        <w:bidi w:val="0"/>
        <w:jc w:val="left"/>
        <w:rPr/>
      </w:pPr>
      <w:r>
        <w:rPr/>
        <w:t>Étape 2 : Votre centre de pilotage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Page :</w:t>
      </w:r>
      <w:r>
        <w:rPr/>
        <w:t xml:space="preserve"> [Dashboard / Tableau de bord]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Actions :</w:t>
      </w:r>
      <w:r>
        <w:rPr/>
        <w:t xml:space="preserve"> </w:t>
      </w:r>
    </w:p>
    <w:p>
      <w:pPr>
        <w:pStyle w:val="TextBody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 xml:space="preserve">Consultez le graphique </w:t>
      </w:r>
      <w:r>
        <w:rPr>
          <w:rStyle w:val="StrongEmphasis"/>
        </w:rPr>
        <w:t>Évolution des ventes</w:t>
      </w:r>
      <w:r>
        <w:rPr/>
        <w:t xml:space="preserve"> afin de visualiser les tendances du jour. </w:t>
      </w:r>
    </w:p>
    <w:p>
      <w:pPr>
        <w:pStyle w:val="TextBody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 xml:space="preserve">Utilisez le </w:t>
      </w:r>
      <w:r>
        <w:rPr>
          <w:rStyle w:val="StrongEmphasis"/>
        </w:rPr>
        <w:t>sélecteur de magasin</w:t>
      </w:r>
      <w:r>
        <w:rPr/>
        <w:t xml:space="preserve"> (en haut à droite) pour changer de point de vente. </w:t>
      </w:r>
    </w:p>
    <w:p>
      <w:pPr>
        <w:pStyle w:val="TextBody"/>
        <w:numPr>
          <w:ilvl w:val="1"/>
          <w:numId w:val="2"/>
        </w:numPr>
        <w:tabs>
          <w:tab w:val="clear" w:pos="709"/>
          <w:tab w:val="left" w:pos="1418" w:leader="none"/>
        </w:tabs>
        <w:bidi w:val="0"/>
        <w:ind w:left="1418" w:hanging="283"/>
        <w:jc w:val="left"/>
        <w:rPr/>
      </w:pPr>
      <w:r>
        <w:rPr/>
        <w:t xml:space="preserve">Modifiez la </w:t>
      </w:r>
      <w:r>
        <w:rPr>
          <w:rStyle w:val="StrongEmphasis"/>
        </w:rPr>
        <w:t>période d’analyse</w:t>
      </w:r>
      <w:r>
        <w:rPr/>
        <w:t xml:space="preserve"> afin d’afficher les statistiques du mois précédent ou d’une autre période. </w:t>
      </w:r>
    </w:p>
    <w:p>
      <w:pPr>
        <w:pStyle w:val="HorizontalLine"/>
        <w:bidi w:val="0"/>
        <w:jc w:val="left"/>
        <w:rPr/>
      </w:pPr>
      <w:r>
        <w:rPr/>
      </w:r>
    </w:p>
    <w:p>
      <w:pPr>
        <w:pStyle w:val="Heading2"/>
        <w:bidi w:val="0"/>
        <w:jc w:val="left"/>
        <w:rPr/>
      </w:pPr>
      <w:r>
        <w:rPr/>
        <w:t>Étape 3 : Gestion de vos contacts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Navigation :</w:t>
      </w:r>
      <w:r>
        <w:rPr/>
        <w:t xml:space="preserve"> Cliquez sur l’icône </w:t>
      </w:r>
      <w:r>
        <w:rPr>
          <w:rStyle w:val="StrongEmphasis"/>
        </w:rPr>
        <w:t>Utilisateurs / Contacts</w:t>
      </w:r>
      <w:r>
        <w:rPr/>
        <w:t xml:space="preserve"> dans la barre latérale.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Page :</w:t>
      </w:r>
      <w:r>
        <w:rPr/>
        <w:t xml:space="preserve"> [Liste des contacts]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Actions :</w:t>
      </w:r>
      <w:r>
        <w:rPr/>
        <w:t xml:space="preserve"> </w:t>
      </w:r>
    </w:p>
    <w:p>
      <w:pPr>
        <w:pStyle w:val="TextBody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 xml:space="preserve">Utilisez le </w:t>
      </w:r>
      <w:r>
        <w:rPr>
          <w:rStyle w:val="StrongEmphasis"/>
        </w:rPr>
        <w:t xml:space="preserve">sélecteur </w:t>
      </w:r>
      <w:r>
        <w:rPr/>
        <w:t xml:space="preserve"> (en haut à </w:t>
      </w:r>
      <w:r>
        <w:rPr/>
        <w:t>gauche</w:t>
      </w:r>
      <w:r>
        <w:rPr/>
        <w:t xml:space="preserve">) pour </w:t>
      </w:r>
      <w:r>
        <w:rPr/>
        <w:t>filtrer par type de contact, ou par categorie</w:t>
      </w:r>
      <w:r>
        <w:rPr/>
        <w:t xml:space="preserve">. </w:t>
      </w:r>
    </w:p>
    <w:p>
      <w:pPr>
        <w:pStyle w:val="TextBody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Utilisez la barre de recherche pour retrouver un c</w:t>
      </w:r>
      <w:r>
        <w:rPr/>
        <w:t>ontact (c</w:t>
      </w:r>
      <w:r>
        <w:rPr/>
        <w:t>lient/</w:t>
      </w:r>
      <w:r>
        <w:rPr/>
        <w:t>fournisseur)</w:t>
      </w:r>
      <w:r>
        <w:rPr/>
        <w:t xml:space="preserve"> à partir de son nom. </w:t>
      </w:r>
    </w:p>
    <w:p>
      <w:pPr>
        <w:pStyle w:val="TextBody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Ulisez le bouton Importer/Exporter pour ajouter ou extraire des donnees des contacts</w:t>
      </w:r>
    </w:p>
    <w:p>
      <w:pPr>
        <w:pStyle w:val="TextBody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 xml:space="preserve">Vous pouvez egalement ajouter directement un contact en </w:t>
      </w:r>
      <w:r>
        <w:rPr>
          <w:lang w:val="fr-FR"/>
        </w:rPr>
        <w:t>appuyant</w:t>
      </w:r>
      <w:r>
        <w:rPr/>
        <w:t xml:space="preserve"> sur “Nouveau contact’’ </w:t>
      </w:r>
    </w:p>
    <w:p>
      <w:pPr>
        <w:pStyle w:val="TextBody"/>
        <w:numPr>
          <w:ilvl w:val="1"/>
          <w:numId w:val="3"/>
        </w:numPr>
        <w:tabs>
          <w:tab w:val="clear" w:pos="709"/>
          <w:tab w:val="left" w:pos="1418" w:leader="none"/>
        </w:tabs>
        <w:bidi w:val="0"/>
        <w:ind w:left="1418" w:hanging="283"/>
        <w:jc w:val="left"/>
        <w:rPr/>
      </w:pPr>
      <w:r>
        <w:rPr>
          <w:rStyle w:val="StrongEmphasis"/>
        </w:rPr>
        <w:t>Changement de page :</w:t>
      </w:r>
      <w:r>
        <w:rPr/>
        <w:t xml:space="preserve"> Cliquez sur le nom d’un contact pour accéder à sa [Fiche contact / Détail du contact]. </w:t>
      </w:r>
    </w:p>
    <w:p>
      <w:pPr>
        <w:pStyle w:val="HorizontalLine"/>
        <w:bidi w:val="0"/>
        <w:jc w:val="left"/>
        <w:rPr/>
      </w:pPr>
      <w:r>
        <w:rPr/>
      </w:r>
    </w:p>
    <w:p>
      <w:pPr>
        <w:pStyle w:val="Heading2"/>
        <w:bidi w:val="0"/>
        <w:jc w:val="left"/>
        <w:rPr/>
      </w:pPr>
      <w:r>
        <w:rPr/>
        <w:t>Étape 4 : Gestion de vos points de vente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Navigation :</w:t>
      </w:r>
      <w:r>
        <w:rPr/>
        <w:t xml:space="preserve"> Cliquez sur l’icône </w:t>
      </w:r>
      <w:r>
        <w:rPr>
          <w:rStyle w:val="StrongEmphasis"/>
        </w:rPr>
        <w:t>Magasin</w:t>
      </w:r>
      <w:r>
        <w:rPr/>
        <w:t xml:space="preserve"> → </w:t>
      </w:r>
      <w:r>
        <w:rPr>
          <w:rStyle w:val="StrongEmphasis"/>
        </w:rPr>
        <w:t>Liste des boutiques</w:t>
      </w:r>
      <w:r>
        <w:rPr/>
        <w:t xml:space="preserve">.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Page :</w:t>
      </w:r>
      <w:r>
        <w:rPr/>
        <w:t xml:space="preserve"> [Gestion des boutiques] 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Actions :</w:t>
      </w:r>
      <w:r>
        <w:rPr/>
        <w:t xml:space="preserve"> </w:t>
      </w:r>
    </w:p>
    <w:p>
      <w:pPr>
        <w:pStyle w:val="TextBody"/>
        <w:numPr>
          <w:ilvl w:val="1"/>
          <w:numId w:val="4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Consultez l</w:t>
      </w:r>
      <w:r>
        <w:rPr/>
        <w:t>a liste</w:t>
      </w:r>
      <w:r>
        <w:rPr/>
        <w:t xml:space="preserve"> de vos différents points de vente.</w:t>
      </w:r>
    </w:p>
    <w:p>
      <w:pPr>
        <w:pStyle w:val="TextBody"/>
        <w:numPr>
          <w:ilvl w:val="1"/>
          <w:numId w:val="4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 xml:space="preserve">Utilisez le </w:t>
      </w:r>
      <w:r>
        <w:rPr>
          <w:rStyle w:val="StrongEmphasis"/>
        </w:rPr>
        <w:t xml:space="preserve">sélecteur </w:t>
      </w:r>
      <w:r>
        <w:rPr/>
        <w:t xml:space="preserve"> (en haut à </w:t>
      </w:r>
      <w:r>
        <w:rPr/>
        <w:t>gauche</w:t>
      </w:r>
      <w:r>
        <w:rPr/>
        <w:t xml:space="preserve">) pour </w:t>
      </w:r>
      <w:r>
        <w:rPr/>
        <w:t>filtrer les boutiques</w:t>
      </w:r>
    </w:p>
    <w:p>
      <w:pPr>
        <w:pStyle w:val="TextBody"/>
        <w:numPr>
          <w:ilvl w:val="1"/>
          <w:numId w:val="4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 xml:space="preserve">Vous pouvez ajouter directement une boutique en </w:t>
      </w:r>
      <w:r>
        <w:rPr>
          <w:lang w:val="fr-FR"/>
        </w:rPr>
        <w:t>appuyant</w:t>
      </w:r>
      <w:r>
        <w:rPr/>
        <w:t xml:space="preserve"> sur ‘Nouvelle boutique’</w:t>
      </w:r>
      <w:r>
        <w:rPr/>
        <w:t xml:space="preserve"> </w:t>
      </w:r>
    </w:p>
    <w:p>
      <w:pPr>
        <w:pStyle w:val="TextBody"/>
        <w:numPr>
          <w:ilvl w:val="1"/>
          <w:numId w:val="4"/>
        </w:numPr>
        <w:tabs>
          <w:tab w:val="clear" w:pos="709"/>
          <w:tab w:val="left" w:pos="1418" w:leader="none"/>
        </w:tabs>
        <w:bidi w:val="0"/>
        <w:ind w:left="1418" w:hanging="283"/>
        <w:jc w:val="left"/>
        <w:rPr/>
      </w:pPr>
      <w:r>
        <w:rPr>
          <w:rStyle w:val="StrongEmphasis"/>
        </w:rPr>
        <w:t>Changement de page :</w:t>
      </w:r>
      <w:r>
        <w:rPr/>
        <w:t xml:space="preserve"> Cliquez sur une boutique pour afficher ses </w:t>
      </w:r>
      <w:r>
        <w:rPr/>
        <w:t xml:space="preserve">informations, </w:t>
      </w:r>
      <w:r>
        <w:rPr/>
        <w:t xml:space="preserve">agents et son stock dédié. </w:t>
      </w:r>
    </w:p>
    <w:p>
      <w:pPr>
        <w:pStyle w:val="HorizontalLine"/>
        <w:bidi w:val="0"/>
        <w:jc w:val="left"/>
        <w:rPr/>
      </w:pPr>
      <w:r>
        <w:rPr/>
      </w:r>
    </w:p>
    <w:p>
      <w:pPr>
        <w:pStyle w:val="Heading2"/>
        <w:bidi w:val="0"/>
        <w:jc w:val="left"/>
        <w:rPr/>
      </w:pPr>
      <w:r>
        <w:rPr/>
        <w:t>Étape 5 : La vente en caisse (POS)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Navigation :</w:t>
      </w:r>
      <w:r>
        <w:rPr/>
        <w:t xml:space="preserve"> Cliquez sur l’icône </w:t>
      </w:r>
      <w:r>
        <w:rPr>
          <w:rStyle w:val="StrongEmphasis"/>
        </w:rPr>
        <w:t>Caisse (POS)</w:t>
      </w:r>
      <w:r>
        <w:rPr/>
        <w:t xml:space="preserve">. 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Page :</w:t>
      </w:r>
      <w:r>
        <w:rPr/>
        <w:t xml:space="preserve"> [Sessions de vente] 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Actions :</w:t>
      </w:r>
      <w:r>
        <w:rPr/>
        <w:t xml:space="preserve"> </w:t>
      </w:r>
    </w:p>
    <w:p>
      <w:pPr>
        <w:pStyle w:val="TextBody"/>
        <w:numPr>
          <w:ilvl w:val="1"/>
          <w:numId w:val="5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>
          <w:rStyle w:val="StrongEmphasis"/>
        </w:rPr>
        <w:t>Étape clé :</w:t>
      </w:r>
      <w:r>
        <w:rPr/>
        <w:t xml:space="preserve"> Cliquez sur </w:t>
      </w:r>
      <w:r>
        <w:rPr>
          <w:rStyle w:val="StrongEmphasis"/>
        </w:rPr>
        <w:t>« Ouvrir une session »</w:t>
      </w:r>
      <w:r>
        <w:rPr/>
        <w:t xml:space="preserve"> pour démarrer </w:t>
      </w:r>
      <w:r>
        <w:rPr/>
        <w:t>une session de</w:t>
      </w:r>
      <w:r>
        <w:rPr/>
        <w:t xml:space="preserve"> vente. </w:t>
      </w:r>
    </w:p>
    <w:p>
      <w:pPr>
        <w:pStyle w:val="TextBody"/>
        <w:numPr>
          <w:ilvl w:val="1"/>
          <w:numId w:val="5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>
          <w:rStyle w:val="StrongEmphasis"/>
        </w:rPr>
        <w:t>Changement de page :</w:t>
      </w:r>
      <w:r>
        <w:rPr/>
        <w:t xml:space="preserve"> Une fois la session ouverte, vous accédez à l’interface de [Vente directe] afin d’enregistrer ou scanner les produits. </w:t>
      </w:r>
    </w:p>
    <w:p>
      <w:pPr>
        <w:pStyle w:val="TextBody"/>
        <w:numPr>
          <w:ilvl w:val="1"/>
          <w:numId w:val="5"/>
        </w:numPr>
        <w:tabs>
          <w:tab w:val="clear" w:pos="709"/>
          <w:tab w:val="left" w:pos="1418" w:leader="none"/>
        </w:tabs>
        <w:bidi w:val="0"/>
        <w:ind w:left="1418" w:hanging="283"/>
        <w:jc w:val="left"/>
        <w:rPr/>
      </w:pPr>
      <w:r>
        <w:rPr/>
        <w:t>C</w:t>
      </w:r>
      <w:r>
        <w:rPr/>
        <w:t xml:space="preserve">liquez sur </w:t>
      </w:r>
      <w:r>
        <w:rPr>
          <w:rStyle w:val="StrongEmphasis"/>
        </w:rPr>
        <w:t>« Fermer la session »</w:t>
      </w:r>
      <w:r>
        <w:rPr/>
        <w:t xml:space="preserve"> pour valider les encaissements. </w:t>
      </w:r>
    </w:p>
    <w:p>
      <w:pPr>
        <w:pStyle w:val="HorizontalLine"/>
        <w:bidi w:val="0"/>
        <w:jc w:val="left"/>
        <w:rPr/>
      </w:pPr>
      <w:r>
        <w:rPr/>
      </w:r>
    </w:p>
    <w:p>
      <w:pPr>
        <w:pStyle w:val="Heading2"/>
        <w:bidi w:val="0"/>
        <w:jc w:val="left"/>
        <w:rPr/>
      </w:pPr>
      <w:r>
        <w:rPr/>
        <w:t>Étape 6 : Suivi de la logistique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Navigation :</w:t>
      </w:r>
      <w:r>
        <w:rPr/>
        <w:t xml:space="preserve"> Cliquez sur l’icône </w:t>
      </w:r>
      <w:r>
        <w:rPr>
          <w:rStyle w:val="StrongEmphasis"/>
        </w:rPr>
        <w:t>Entrepôt</w:t>
      </w:r>
      <w:r>
        <w:rPr/>
        <w:t xml:space="preserve">.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Page :</w:t>
      </w:r>
      <w:r>
        <w:rPr/>
        <w:t xml:space="preserve"> [Gestion des entrepôts]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Actions :</w:t>
      </w:r>
      <w:r>
        <w:rPr/>
        <w:t xml:space="preserve"> </w:t>
      </w:r>
    </w:p>
    <w:p>
      <w:pPr>
        <w:pStyle w:val="TextBody"/>
        <w:numPr>
          <w:ilvl w:val="1"/>
          <w:numId w:val="6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 xml:space="preserve">Vérifiez les niveaux de stock dans vos différents centres de stockage. </w:t>
      </w:r>
    </w:p>
    <w:p>
      <w:pPr>
        <w:pStyle w:val="TextBody"/>
        <w:numPr>
          <w:ilvl w:val="1"/>
          <w:numId w:val="6"/>
        </w:numPr>
        <w:tabs>
          <w:tab w:val="clear" w:pos="709"/>
          <w:tab w:val="left" w:pos="1418" w:leader="none"/>
        </w:tabs>
        <w:bidi w:val="0"/>
        <w:ind w:left="1418" w:hanging="283"/>
        <w:jc w:val="left"/>
        <w:rPr/>
      </w:pPr>
      <w:r>
        <w:rPr/>
        <w:t xml:space="preserve">Consultez l’[État des stocks] afin d’identifier les produits en rupture </w:t>
      </w:r>
      <w:r>
        <w:rPr/>
        <w:t>ou qui en besoin d’approvisionnement</w:t>
      </w:r>
      <w:r>
        <w:rPr/>
        <w:t xml:space="preserve">. </w:t>
      </w:r>
    </w:p>
    <w:p>
      <w:pPr>
        <w:pStyle w:val="HorizontalLine"/>
        <w:bidi w:val="0"/>
        <w:jc w:val="left"/>
        <w:rPr/>
      </w:pPr>
      <w:r>
        <w:rPr/>
      </w:r>
    </w:p>
    <w:p>
      <w:pPr>
        <w:pStyle w:val="Heading2"/>
        <w:bidi w:val="0"/>
        <w:jc w:val="left"/>
        <w:rPr/>
      </w:pPr>
      <w:r>
        <w:rPr/>
        <w:t>Étape 7 : Analyse des performances</w:t>
      </w:r>
    </w:p>
    <w:p>
      <w:pPr>
        <w:pStyle w:val="TextBody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Navigation :</w:t>
      </w:r>
      <w:r>
        <w:rPr/>
        <w:t xml:space="preserve"> Cliquez sur l’icône </w:t>
      </w:r>
      <w:r>
        <w:rPr>
          <w:rStyle w:val="StrongEmphasis"/>
        </w:rPr>
        <w:t>Graphique / Statistiques</w:t>
      </w:r>
      <w:r>
        <w:rPr/>
        <w:t xml:space="preserve">. </w:t>
      </w:r>
    </w:p>
    <w:p>
      <w:pPr>
        <w:pStyle w:val="TextBody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Page :</w:t>
      </w:r>
      <w:r>
        <w:rPr/>
        <w:t xml:space="preserve"> [Statistiques de ventes] </w:t>
      </w:r>
    </w:p>
    <w:p>
      <w:pPr>
        <w:pStyle w:val="TextBody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Actions :</w:t>
      </w:r>
      <w:r>
        <w:rPr/>
        <w:t xml:space="preserve"> </w:t>
      </w:r>
    </w:p>
    <w:p>
      <w:pPr>
        <w:pStyle w:val="TextBody"/>
        <w:numPr>
          <w:ilvl w:val="1"/>
          <w:numId w:val="7"/>
        </w:numPr>
        <w:tabs>
          <w:tab w:val="clear" w:pos="709"/>
          <w:tab w:val="left" w:pos="1418" w:leader="none"/>
        </w:tabs>
        <w:bidi w:val="0"/>
        <w:ind w:left="1418" w:hanging="283"/>
        <w:jc w:val="left"/>
        <w:rPr/>
      </w:pPr>
      <w:r>
        <w:rPr/>
        <w:t xml:space="preserve">Basculez entre les onglets </w:t>
      </w:r>
      <w:r>
        <w:rPr>
          <w:rStyle w:val="StrongEmphasis"/>
        </w:rPr>
        <w:t>Ventes</w:t>
      </w:r>
      <w:r>
        <w:rPr/>
        <w:t xml:space="preserve">, </w:t>
      </w:r>
      <w:r>
        <w:rPr>
          <w:rStyle w:val="StrongEmphasis"/>
        </w:rPr>
        <w:t>Catégories</w:t>
      </w:r>
      <w:r>
        <w:rPr/>
        <w:t xml:space="preserve"> et </w:t>
      </w:r>
      <w:r>
        <w:rPr>
          <w:rStyle w:val="StrongEmphasis"/>
        </w:rPr>
        <w:t>Clients</w:t>
      </w:r>
      <w:r>
        <w:rPr/>
        <w:t xml:space="preserve"> afin d’affiner votre analyse des performances. </w:t>
      </w:r>
    </w:p>
    <w:p>
      <w:pPr>
        <w:pStyle w:val="HorizontalLine"/>
        <w:bidi w:val="0"/>
        <w:jc w:val="left"/>
        <w:rPr/>
      </w:pPr>
      <w:r>
        <w:rPr/>
      </w:r>
    </w:p>
    <w:p>
      <w:pPr>
        <w:pStyle w:val="Heading2"/>
        <w:bidi w:val="0"/>
        <w:jc w:val="left"/>
        <w:rPr/>
      </w:pPr>
      <w:r>
        <w:rPr/>
        <w:t>Étape 8 : Administration du compte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Navigation :</w:t>
      </w:r>
      <w:r>
        <w:rPr/>
        <w:t xml:space="preserve"> Cliquez sur l’icône </w:t>
      </w:r>
      <w:r>
        <w:rPr>
          <w:rStyle w:val="StrongEmphasis"/>
        </w:rPr>
        <w:t>Roue dentée (Paramètres)</w:t>
      </w:r>
      <w:r>
        <w:rPr/>
        <w:t xml:space="preserve"> située en bas de la barre latérale.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Page :</w:t>
      </w:r>
      <w:r>
        <w:rPr/>
        <w:t xml:space="preserve"> [Paramètres système] 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Actions :</w:t>
      </w:r>
      <w:r>
        <w:rPr/>
        <w:t xml:space="preserve"> </w:t>
      </w:r>
    </w:p>
    <w:p>
      <w:pPr>
        <w:pStyle w:val="TextBody"/>
        <w:numPr>
          <w:ilvl w:val="1"/>
          <w:numId w:val="8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 xml:space="preserve">Gérez les utilisateurs de votre équipe ainsi que leurs droits d’accès. </w:t>
      </w:r>
    </w:p>
    <w:p>
      <w:pPr>
        <w:pStyle w:val="TextBody"/>
        <w:numPr>
          <w:ilvl w:val="1"/>
          <w:numId w:val="8"/>
        </w:numPr>
        <w:tabs>
          <w:tab w:val="clear" w:pos="709"/>
          <w:tab w:val="left" w:pos="1418" w:leader="none"/>
        </w:tabs>
        <w:bidi w:val="0"/>
        <w:ind w:left="1418" w:hanging="283"/>
        <w:jc w:val="left"/>
        <w:rPr/>
      </w:pPr>
      <w:r>
        <w:rPr/>
        <w:t xml:space="preserve">Configurez les taux de taxes (TVA) appliqués dans le système. </w:t>
      </w:r>
    </w:p>
    <w:p>
      <w:pPr>
        <w:pStyle w:val="TextBody"/>
        <w:numPr>
          <w:ilvl w:val="1"/>
          <w:numId w:val="8"/>
        </w:numPr>
        <w:tabs>
          <w:tab w:val="clear" w:pos="709"/>
          <w:tab w:val="left" w:pos="1418" w:leader="none"/>
        </w:tabs>
        <w:bidi w:val="0"/>
        <w:ind w:left="1418" w:hanging="283"/>
        <w:jc w:val="left"/>
        <w:rPr/>
      </w:pPr>
      <w:r>
        <w:rPr>
          <w:lang w:val="fr-FR"/>
        </w:rPr>
        <w:t>Attribuee</w:t>
      </w:r>
      <w:r>
        <w:rPr/>
        <w:t xml:space="preserve"> les licences, etc...</w:t>
      </w:r>
    </w:p>
    <w:p>
      <w:pPr>
        <w:pStyle w:val="HorizontalLine"/>
        <w:bidi w:val="0"/>
        <w:jc w:val="left"/>
        <w:rPr/>
      </w:pPr>
      <w:r>
        <w:rPr/>
      </w:r>
    </w:p>
    <w:p>
      <w:pPr>
        <w:pStyle w:val="Heading2"/>
        <w:bidi w:val="0"/>
        <w:jc w:val="left"/>
        <w:rPr/>
      </w:pPr>
      <w:r>
        <w:rPr/>
        <w:t>Étape 9 : Gestion et attribution des licences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Navigation :</w:t>
      </w:r>
      <w:r>
        <w:rPr/>
        <w:t xml:space="preserve"> Cliquez sur </w:t>
      </w:r>
      <w:r>
        <w:rPr>
          <w:rStyle w:val="StrongEmphasis"/>
        </w:rPr>
        <w:t>Paramètres</w:t>
      </w:r>
      <w:r>
        <w:rPr/>
        <w:t xml:space="preserve"> → </w:t>
      </w:r>
      <w:r>
        <w:rPr>
          <w:rStyle w:val="StrongEmphasis"/>
        </w:rPr>
        <w:t>Licences</w:t>
      </w:r>
      <w:r>
        <w:rPr/>
        <w:t xml:space="preserve">. 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Page :</w:t>
      </w:r>
      <w:r>
        <w:rPr/>
        <w:t xml:space="preserve"> [Liste des licences] 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Actions :</w:t>
      </w:r>
      <w:r>
        <w:rPr/>
        <w:t xml:space="preserve"> </w:t>
      </w:r>
    </w:p>
    <w:p>
      <w:pPr>
        <w:pStyle w:val="TextBody"/>
        <w:numPr>
          <w:ilvl w:val="1"/>
          <w:numId w:val="9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 xml:space="preserve">Consultez les licences actives disponibles (ex. : POS, Stock, Statistiques). </w:t>
      </w:r>
    </w:p>
    <w:p>
      <w:pPr>
        <w:pStyle w:val="TextBody"/>
        <w:numPr>
          <w:ilvl w:val="1"/>
          <w:numId w:val="9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>
          <w:rStyle w:val="StrongEmphasis"/>
        </w:rPr>
        <w:t>Attribution :</w:t>
      </w:r>
      <w:r>
        <w:rPr/>
        <w:t xml:space="preserve"> Cliquez sur l’icône utilisateur afin d’attribuer une licence à un membre de votre équipe. </w:t>
      </w:r>
    </w:p>
    <w:p>
      <w:pPr>
        <w:pStyle w:val="TextBody"/>
        <w:numPr>
          <w:ilvl w:val="1"/>
          <w:numId w:val="9"/>
        </w:numPr>
        <w:tabs>
          <w:tab w:val="clear" w:pos="709"/>
          <w:tab w:val="left" w:pos="1418" w:leader="none"/>
        </w:tabs>
        <w:bidi w:val="0"/>
        <w:ind w:left="1418" w:hanging="283"/>
        <w:jc w:val="left"/>
        <w:rPr/>
      </w:pPr>
      <w:r>
        <w:rPr>
          <w:rStyle w:val="StrongEmphasis"/>
        </w:rPr>
        <w:t>Vérification :</w:t>
      </w:r>
      <w:r>
        <w:rPr/>
        <w:t xml:space="preserve"> Assurez-vous que le statut de la licence est </w:t>
      </w:r>
      <w:r>
        <w:rPr>
          <w:rStyle w:val="StrongEmphasis"/>
        </w:rPr>
        <w:t>« Valide »</w:t>
      </w:r>
      <w:r>
        <w:rPr/>
        <w:t xml:space="preserve"> afin que les modules concernés apparaissent dans le menu. </w:t>
      </w:r>
    </w:p>
    <w:p>
      <w:pPr>
        <w:pStyle w:val="HorizontalLine"/>
        <w:bidi w:val="0"/>
        <w:jc w:val="left"/>
        <w:rPr/>
      </w:pPr>
      <w:r>
        <w:rPr/>
      </w:r>
    </w:p>
    <w:p>
      <w:pPr>
        <w:pStyle w:val="Heading2"/>
        <w:bidi w:val="0"/>
        <w:jc w:val="left"/>
        <w:rPr/>
      </w:pPr>
      <w:r>
        <w:rPr/>
        <w:t>Étape 10 : Votre profil personnel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Navigation :</w:t>
      </w:r>
      <w:r>
        <w:rPr/>
        <w:t xml:space="preserve"> Cliquez sur votre </w:t>
      </w:r>
      <w:r>
        <w:rPr>
          <w:rStyle w:val="StrongEmphasis"/>
        </w:rPr>
        <w:t>avatar / nom d’utilisateur</w:t>
      </w:r>
      <w:r>
        <w:rPr/>
        <w:t xml:space="preserve"> (en haut à droite ou en bas du menu). 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Page :</w:t>
      </w:r>
      <w:r>
        <w:rPr/>
        <w:t xml:space="preserve"> [Profil utilisateur] 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StrongEmphasis"/>
        </w:rPr>
        <w:t>Actions :</w:t>
      </w:r>
      <w:r>
        <w:rPr/>
        <w:t xml:space="preserve"> </w:t>
      </w:r>
    </w:p>
    <w:p>
      <w:pPr>
        <w:pStyle w:val="TextBody"/>
        <w:numPr>
          <w:ilvl w:val="1"/>
          <w:numId w:val="10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 xml:space="preserve">Mettez à jour votre </w:t>
      </w:r>
      <w:r>
        <w:rPr/>
        <w:t xml:space="preserve">information et </w:t>
      </w:r>
      <w:r>
        <w:rPr/>
        <w:t xml:space="preserve">mot de passe afin de renforcer la sécurité de votre compte. </w:t>
      </w:r>
    </w:p>
    <w:p>
      <w:pPr>
        <w:pStyle w:val="TextBody"/>
        <w:bidi w:val="0"/>
        <w:spacing w:before="0" w:after="14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Noto Serif CJK SC" w:cs="Lohit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LibreOffice/7.3.7.2$Linux_X86_64 LibreOffice_project/30$Build-2</Application>
  <AppVersion>15.0000</AppVersion>
  <Pages>3</Pages>
  <Words>665</Words>
  <Characters>3240</Characters>
  <CharactersWithSpaces>3837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2026-05-16T14:00:38Z</dcterms:created>
  <dc:creator/>
  <dc:description/>
  <dc:language>en-US</dc:language>
  <cp:lastModifiedBy/>
  <dcterms:modified xsi:type="dcterms:W3CDTF">2026-05-16T16:07:22Z</dcterms:modified>
  <cp:revision>1</cp:revision>
  <dc:subject/>
  <dc:title/>
</cp:coreProperties>
</file>