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officeDocument/2006/relationships/extended-properties" Target="docProps/app.xml"/><Relationship Id="rId3"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body>
    <w:p>
      <w:pPr>
        <w:pStyle w:val="Heading1"/>
      </w:pPr>
      <w:r>
        <w:t xml:space="preserve">BY+ : Vision de la suite d'applications</w:t>
      </w:r>
    </w:p>
    <w:p>
      <w:pPr>
        <w:pStyle w:val="Heading2"/>
      </w:pPr>
      <w:r>
        <w:t xml:space="preserve">1. Objet et périmètre</w:t>
      </w:r>
    </w:p>
    <w:p>
      <w:pPr/>
      <w:r>
        <w:t xml:space="preserve">Ce document formalise ce qu'est BY+ : une suite modulaire où chaque module répond à un métier, où tous partagent un socle, et où l'offre se compose à la carte ou en offre fixe. Il s'adresse à toutes les équipes : opérations, produit, technique, commercial et support.</w:t>
      </w:r>
    </w:p>
    <w:p>
      <w:pPr/>
      <w:r>
        <w:t xml:space="preserve">C'est le cahier des charges de référence de BY+ : chacun peut le lire pour comprendre ce qu'est BY+ et ce qu'il doit couvrir. Le suivi des livraisons est tenu à part.</w:t>
      </w:r>
    </w:p>
    <w:p>
      <w:pPr>
        <w:pStyle w:val="Heading2"/>
      </w:pPr>
      <w:r>
        <w:t xml:space="preserve">2. Pourquoi cette vision</w:t>
      </w:r>
    </w:p>
    <w:p>
      <w:pPr/>
      <w:r>
        <w:t xml:space="preserve">BY+ s'est construit produit par produit : BY+ ERP, BY+ ACCESS, BY+ EVENT et BY+ SHOP. Chacun répondait à un vrai besoin, mais pris isolément ils donnaient l'image de logiciels séparés. BY+ les reprend dans une seule plateforme, qui devient la base commune de tous les produits.</w:t>
      </w:r>
    </w:p>
    <w:p>
      <w:pPr/>
      <w:r>
        <w:t xml:space="preserve">Ce que cela apporte :</w:t>
      </w:r>
    </w:p>
    <w:p>
      <w:pPr>
        <w:pStyle w:val="ListParagraph"/>
        <w:numPr>
          <w:ilvl w:val="0"/>
          <w:numId w:val="2"/>
        </w:numPr>
      </w:pPr>
      <w:r>
        <w:t xml:space="preserve">un seul code pour tous les clients : un correctif est écrit une fois, pour tout le monde ;</w:t>
      </w:r>
    </w:p>
    <w:p>
      <w:pPr>
        <w:pStyle w:val="ListParagraph"/>
        <w:numPr>
          <w:ilvl w:val="0"/>
          <w:numId w:val="2"/>
        </w:numPr>
      </w:pPr>
      <w:r>
        <w:t xml:space="preserve">un client qui démarre avec un module peut en ajouter d'autres sans migration ni ressaisie : ses données restent dans sa base ;</w:t>
      </w:r>
    </w:p>
    <w:p>
      <w:pPr>
        <w:pStyle w:val="ListParagraph"/>
        <w:numPr>
          <w:ilvl w:val="0"/>
          <w:numId w:val="2"/>
        </w:numPr>
      </w:pPr>
      <w:r>
        <w:t xml:space="preserve">une offre souple, à la carte ou en offre fixe, où l'on ne paie que ce que l'on utilise ;</w:t>
      </w:r>
    </w:p>
    <w:p>
      <w:pPr>
        <w:pStyle w:val="ListParagraph"/>
        <w:numPr>
          <w:ilvl w:val="0"/>
          <w:numId w:val="2"/>
        </w:numPr>
      </w:pPr>
      <w:r>
        <w:t xml:space="preserve">chaque nouveau module profite du socle déjà construit, donc coûte moins cher à produire.</w:t>
      </w:r>
    </w:p>
    <w:p>
      <w:pPr/>
      <w:r>
        <w:t xml:space="preserve">Le modèle s'inspire d'Odoo (une suite de modules autour d'une base commune), adapté à notre cible et à notre marché.</w:t>
      </w:r>
    </w:p>
    <w:p>
      <w:pPr>
        <w:pStyle w:val="Heading2"/>
      </w:pPr>
      <w:r>
        <w:t xml:space="preserve">3. Cible et promesse</w:t>
      </w:r>
    </w:p>
    <w:p>
      <w:pPr/>
      <w:r>
        <w:rPr>
          <w:b/>
          <w:bCs/>
        </w:rPr>
        <w:t xml:space="preserve">Cible :</w:t>
      </w:r>
      <w:r>
        <w:t xml:space="preserve"> boutiques, restaurants et PME, ainsi que les organisations qui ont besoin de sécurité d'accès et de gestion d'événements. Les restaurants sont dans la cible ; leurs modules restent à définir (section 6.2).</w:t>
      </w:r>
    </w:p>
    <w:p>
      <w:pPr/>
      <w:r>
        <w:rPr>
          <w:b/>
          <w:bCs/>
        </w:rPr>
        <w:t xml:space="preserve">Promesse :</w:t>
      </w:r>
    </w:p>
    <w:p>
      <w:pPr>
        <w:pStyle w:val="ListParagraph"/>
        <w:numPr>
          <w:ilvl w:val="0"/>
          <w:numId w:val="3"/>
        </w:numPr>
      </w:pPr>
      <w:r>
        <w:rPr>
          <w:b/>
          <w:bCs/>
        </w:rPr>
        <w:t xml:space="preserve">Simplicité</w:t>
      </w:r>
      <w:r>
        <w:t xml:space="preserve"> : prise en main rapide, vocabulaire clair, chaque écran utilisable sur téléphone.</w:t>
      </w:r>
    </w:p>
    <w:p>
      <w:pPr>
        <w:pStyle w:val="ListParagraph"/>
        <w:numPr>
          <w:ilvl w:val="0"/>
          <w:numId w:val="3"/>
        </w:numPr>
      </w:pPr>
      <w:r>
        <w:rPr>
          <w:b/>
          <w:bCs/>
        </w:rPr>
        <w:t xml:space="preserve">Accessibilité</w:t>
      </w:r>
      <w:r>
        <w:t xml:space="preserve"> : activation progressive, on ne voit, ne charge et ne paie que les modules pris.</w:t>
      </w:r>
    </w:p>
    <w:p>
      <w:pPr>
        <w:pStyle w:val="ListParagraph"/>
        <w:numPr>
          <w:ilvl w:val="0"/>
          <w:numId w:val="3"/>
        </w:numPr>
      </w:pPr>
      <w:r>
        <w:rPr>
          <w:b/>
          <w:bCs/>
        </w:rPr>
        <w:t xml:space="preserve">Adaptation au marché africain</w:t>
      </w:r>
      <w:r>
        <w:t xml:space="preserve"> : caisse hors ligne, Mobile Money, F CFA, fiscalité locale (section 10).</w:t>
      </w:r>
    </w:p>
    <w:p>
      <w:pPr>
        <w:pStyle w:val="Heading2"/>
      </w:pPr>
      <w:r>
        <w:t xml:space="preserve">4. Le vocabulaire de BY+</w:t>
      </w:r>
    </w:p>
    <w:p>
      <w:pPr/>
      <w:r>
        <w:t xml:space="preserve">Quelques mots reviennent partout dans BY+, dans le code, dans la console et dans les offres. Les employer de la même façon évite les malentendus.</w:t>
      </w:r>
    </w:p>
    <w:tbl>
      <w:tblPr>
        <w:tblStyle w:val="TableGrid"/>
        <w:tblW w:w="0" w:type="auto"/>
        <w:tblLayout w:type="fixed"/>
        <w:tblLook w:val="04A0" w:firstRow="1" w:lastRow="0" w:firstColumn="0" w:lastColumn="0" w:noHBand="0" w:noVBand="1"/>
      </w:tblPr>
      <w:tblGrid>
        <w:gridCol w:w="1423"/>
        <w:gridCol w:w="4920"/>
        <w:gridCol w:w="1467"/>
        <w:gridCol w:w="1550"/>
      </w:tblGrid>
      <w:tr>
        <w:trPr>
          <w:tblHeader/>
        </w:trPr>
        <w:tc>
          <w:tcPr>
            <w:tcW w:w="1423" w:type="dxa"/>
            <w:shd w:val="clear" w:color="auto" w:fill="F2F2F2"/>
          </w:tcPr>
          <w:p>
            <w:pPr/>
            <w:r>
              <w:t xml:space="preserve">Terme</w:t>
            </w:r>
          </w:p>
        </w:tc>
        <w:tc>
          <w:tcPr>
            <w:tcW w:w="4920" w:type="dxa"/>
            <w:shd w:val="clear" w:color="auto" w:fill="F2F2F2"/>
          </w:tcPr>
          <w:p>
            <w:pPr/>
            <w:r>
              <w:t xml:space="preserve">Définition</w:t>
            </w:r>
          </w:p>
        </w:tc>
        <w:tc>
          <w:tcPr>
            <w:tcW w:w="1467" w:type="dxa"/>
            <w:shd w:val="clear" w:color="auto" w:fill="F2F2F2"/>
          </w:tcPr>
          <w:p>
            <w:pPr/>
            <w:r>
              <w:t xml:space="preserve">Se vend ?</w:t>
            </w:r>
          </w:p>
        </w:tc>
        <w:tc>
          <w:tcPr>
            <w:tcW w:w="1550" w:type="dxa"/>
            <w:shd w:val="clear" w:color="auto" w:fill="F2F2F2"/>
          </w:tcPr>
          <w:p>
            <w:pPr/>
            <w:r>
              <w:t xml:space="preserve">Exemple</w:t>
            </w:r>
          </w:p>
        </w:tc>
      </w:tr>
      <w:tr>
        <w:tc>
          <w:tcPr>
            <w:tcW w:w="1423" w:type="dxa"/>
          </w:tcPr>
          <w:p>
            <w:pPr/>
            <w:r>
              <w:t xml:space="preserve">Socle</w:t>
            </w:r>
          </w:p>
        </w:tc>
        <w:tc>
          <w:tcPr>
            <w:tcW w:w="4920" w:type="dxa"/>
          </w:tcPr>
          <w:p>
            <w:pPr/>
            <w:r>
              <w:t xml:space="preserve">Ce que tout client a toujours : comptes et droits, sociétés, fichiers, notifications</w:t>
            </w:r>
          </w:p>
        </w:tc>
        <w:tc>
          <w:tcPr>
            <w:tcW w:w="1467" w:type="dxa"/>
          </w:tcPr>
          <w:p>
            <w:pPr/>
            <w:r>
              <w:t xml:space="preserve">Non, inclus partout</w:t>
            </w:r>
          </w:p>
        </w:tc>
        <w:tc>
          <w:tcPr>
            <w:tcW w:w="1550" w:type="dxa"/>
          </w:tcPr>
          <w:p>
            <w:pPr/>
            <w:r>
              <w:t xml:space="preserve">Utilisateurs, sociétés, journal</w:t>
            </w:r>
          </w:p>
        </w:tc>
      </w:tr>
      <w:tr>
        <w:tc>
          <w:tcPr>
            <w:tcW w:w="1423" w:type="dxa"/>
          </w:tcPr>
          <w:p>
            <w:pPr/>
            <w:r>
              <w:t xml:space="preserve">Module</w:t>
            </w:r>
          </w:p>
        </w:tc>
        <w:tc>
          <w:tcPr>
            <w:tcW w:w="4920" w:type="dxa"/>
          </w:tcPr>
          <w:p>
            <w:pPr/>
            <w:r>
              <w:t xml:space="preserve">Un métier utilisable seul, avec son menu, ses écrans, ses droits et ses tables</w:t>
            </w:r>
          </w:p>
        </w:tc>
        <w:tc>
          <w:tcPr>
            <w:tcW w:w="1467" w:type="dxa"/>
          </w:tcPr>
          <w:p>
            <w:pPr/>
            <w:r>
              <w:t xml:space="preserve">Oui, dans une offre</w:t>
            </w:r>
          </w:p>
        </w:tc>
        <w:tc>
          <w:tcPr>
            <w:tcW w:w="1550" w:type="dxa"/>
          </w:tcPr>
          <w:p>
            <w:pPr/>
            <w:r>
              <w:t xml:space="preserve">POS, Paie</w:t>
            </w:r>
          </w:p>
        </w:tc>
      </w:tr>
      <w:tr>
        <w:tc>
          <w:tcPr>
            <w:tcW w:w="1423" w:type="dxa"/>
          </w:tcPr>
          <w:p>
            <w:pPr/>
            <w:r>
              <w:t xml:space="preserve">Module de base</w:t>
            </w:r>
          </w:p>
        </w:tc>
        <w:tc>
          <w:tcPr>
            <w:tcW w:w="4920" w:type="dxa"/>
          </w:tcPr>
          <w:p>
            <w:pPr/>
            <w:r>
              <w:t xml:space="preserve">Un module requis par plusieurs autres, mais pas utile seul</w:t>
            </w:r>
          </w:p>
        </w:tc>
        <w:tc>
          <w:tcPr>
            <w:tcW w:w="1467" w:type="dxa"/>
          </w:tcPr>
          <w:p>
            <w:pPr/>
            <w:r>
              <w:t xml:space="preserve">Jamais seul, activé avec le module qui le requiert</w:t>
            </w:r>
          </w:p>
        </w:tc>
        <w:tc>
          <w:tcPr>
            <w:tcW w:w="1550" w:type="dxa"/>
          </w:tcPr>
          <w:p>
            <w:pPr/>
            <w:r>
              <w:t xml:space="preserve">Catalogue, Moyens de paiement</w:t>
            </w:r>
          </w:p>
        </w:tc>
      </w:tr>
      <w:tr>
        <w:tc>
          <w:tcPr>
            <w:tcW w:w="1423" w:type="dxa"/>
          </w:tcPr>
          <w:p>
            <w:pPr/>
            <w:r>
              <w:t xml:space="preserve">Famille</w:t>
            </w:r>
          </w:p>
        </w:tc>
        <w:tc>
          <w:tcPr>
            <w:tcW w:w="4920" w:type="dxa"/>
          </w:tcPr>
          <w:p>
            <w:pPr/>
            <w:r>
              <w:t xml:space="preserve">Un regroupement de modules qui sert à classer le catalogue</w:t>
            </w:r>
          </w:p>
        </w:tc>
        <w:tc>
          <w:tcPr>
            <w:tcW w:w="1467" w:type="dxa"/>
          </w:tcPr>
          <w:p>
            <w:pPr/>
            <w:r>
              <w:t xml:space="preserve">Non</w:t>
            </w:r>
          </w:p>
        </w:tc>
        <w:tc>
          <w:tcPr>
            <w:tcW w:w="1550" w:type="dxa"/>
          </w:tcPr>
          <w:p>
            <w:pPr/>
            <w:r>
              <w:t xml:space="preserve">Vente, RH</w:t>
            </w:r>
          </w:p>
        </w:tc>
      </w:tr>
      <w:tr>
        <w:tc>
          <w:tcPr>
            <w:tcW w:w="1423" w:type="dxa"/>
          </w:tcPr>
          <w:p>
            <w:pPr/>
            <w:r>
              <w:t xml:space="preserve">Pont</w:t>
            </w:r>
          </w:p>
        </w:tc>
        <w:tc>
          <w:tcPr>
            <w:tcW w:w="4920" w:type="dxa"/>
          </w:tcPr>
          <w:p>
            <w:pPr/>
            <w:r>
              <w:t xml:space="preserve">Ce qui relie deux modules facultatifs l'un pour l'autre</w:t>
            </w:r>
          </w:p>
        </w:tc>
        <w:tc>
          <w:tcPr>
            <w:tcW w:w="1467" w:type="dxa"/>
          </w:tcPr>
          <w:p>
            <w:pPr/>
            <w:r>
              <w:t xml:space="preserve">Non, il s'active tout seul</w:t>
            </w:r>
          </w:p>
        </w:tc>
        <w:tc>
          <w:tcPr>
            <w:tcW w:w="1550" w:type="dxa"/>
          </w:tcPr>
          <w:p>
            <w:pPr/>
            <w:r>
              <w:t xml:space="preserve">pos-entrepot</w:t>
            </w:r>
          </w:p>
        </w:tc>
      </w:tr>
      <w:tr>
        <w:tc>
          <w:tcPr>
            <w:tcW w:w="1423" w:type="dxa"/>
          </w:tcPr>
          <w:p>
            <w:pPr/>
            <w:r>
              <w:t xml:space="preserve">Extension client</w:t>
            </w:r>
          </w:p>
        </w:tc>
        <w:tc>
          <w:tcPr>
            <w:tcW w:w="4920" w:type="dxa"/>
          </w:tcPr>
          <w:p>
            <w:pPr/>
            <w:r>
              <w:t xml:space="preserve">Un petit module propre à un seul client</w:t>
            </w:r>
          </w:p>
        </w:tc>
        <w:tc>
          <w:tcPr>
            <w:tcW w:w="1467" w:type="dxa"/>
          </w:tcPr>
          <w:p>
            <w:pPr/>
            <w:r>
              <w:t xml:space="preserve">Sur devis, à ce client</w:t>
            </w:r>
          </w:p>
        </w:tc>
        <w:tc>
          <w:tcPr>
            <w:tcW w:w="1550" w:type="dxa"/>
          </w:tcPr>
          <w:p>
            <w:pPr/>
            <w:r>
              <w:t xml:space="preserve">Une règle de prime</w:t>
            </w:r>
          </w:p>
        </w:tc>
      </w:tr>
      <w:tr>
        <w:tc>
          <w:tcPr>
            <w:tcW w:w="1423" w:type="dxa"/>
          </w:tcPr>
          <w:p>
            <w:pPr/>
            <w:r>
              <w:t xml:space="preserve">Offre</w:t>
            </w:r>
          </w:p>
        </w:tc>
        <w:tc>
          <w:tcPr>
            <w:tcW w:w="4920" w:type="dxa"/>
          </w:tcPr>
          <w:p>
            <w:pPr/>
            <w:r>
              <w:t xml:space="preserve">Les modules choisis par un client, enregistrés dans son abonnement</w:t>
            </w:r>
          </w:p>
        </w:tc>
        <w:tc>
          <w:tcPr>
            <w:tcW w:w="1467" w:type="dxa"/>
          </w:tcPr>
          <w:p>
            <w:pPr/>
            <w:r>
              <w:t xml:space="preserve">C'est ce qui se vend</w:t>
            </w:r>
          </w:p>
        </w:tc>
        <w:tc>
          <w:tcPr>
            <w:tcW w:w="1550" w:type="dxa"/>
          </w:tcPr>
          <w:p>
            <w:pPr/>
            <w:r>
              <w:t xml:space="preserve">POS, Entrepôt, Fidélité</w:t>
            </w:r>
          </w:p>
        </w:tc>
      </w:tr>
      <w:tr>
        <w:tc>
          <w:tcPr>
            <w:tcW w:w="1423" w:type="dxa"/>
          </w:tcPr>
          <w:p>
            <w:pPr/>
            <w:r>
              <w:t xml:space="preserve">Offre fixe</w:t>
            </w:r>
          </w:p>
        </w:tc>
        <w:tc>
          <w:tcPr>
            <w:tcW w:w="4920" w:type="dxa"/>
          </w:tcPr>
          <w:p>
            <w:pPr/>
            <w:r>
              <w:t xml:space="preserve">Une offre prête à l'emploi publiée par NetByUs</w:t>
            </w:r>
          </w:p>
        </w:tc>
        <w:tc>
          <w:tcPr>
            <w:tcW w:w="1467" w:type="dxa"/>
          </w:tcPr>
          <w:p>
            <w:pPr/>
            <w:r>
              <w:t xml:space="preserve">Oui</w:t>
            </w:r>
          </w:p>
        </w:tc>
        <w:tc>
          <w:tcPr>
            <w:tcW w:w="1550" w:type="dxa"/>
          </w:tcPr>
          <w:p>
            <w:pPr/>
            <w:r>
              <w:t xml:space="preserve">À définir (section 7)</w:t>
            </w:r>
          </w:p>
        </w:tc>
      </w:tr>
      <w:tr>
        <w:tc>
          <w:tcPr>
            <w:tcW w:w="1423" w:type="dxa"/>
          </w:tcPr>
          <w:p>
            <w:pPr/>
            <w:r>
              <w:t xml:space="preserve">Licence</w:t>
            </w:r>
          </w:p>
        </w:tc>
        <w:tc>
          <w:tcPr>
            <w:tcW w:w="4920" w:type="dxa"/>
          </w:tcPr>
          <w:p>
            <w:pPr/>
            <w:r>
              <w:t xml:space="preserve">Le document signé par NetByUs qui donne à un serveur les modules, les quotas et la date de fin d'un client</w:t>
            </w:r>
          </w:p>
        </w:tc>
        <w:tc>
          <w:tcPr>
            <w:tcW w:w="1467" w:type="dxa"/>
          </w:tcPr>
          <w:p>
            <w:pPr/>
            <w:r>
              <w:t xml:space="preserve">Non</w:t>
            </w:r>
          </w:p>
        </w:tc>
        <w:tc>
          <w:tcPr>
            <w:tcW w:w="1550" w:type="dxa"/>
          </w:tcPr>
          <w:p>
            <w:pPr/>
          </w:p>
        </w:tc>
      </w:tr>
      <w:tr>
        <w:tc>
          <w:tcPr>
            <w:tcW w:w="1423" w:type="dxa"/>
          </w:tcPr>
          <w:p>
            <w:pPr/>
            <w:r>
              <w:t xml:space="preserve">Instance</w:t>
            </w:r>
          </w:p>
        </w:tc>
        <w:tc>
          <w:tcPr>
            <w:tcW w:w="4920" w:type="dxa"/>
          </w:tcPr>
          <w:p>
            <w:pPr/>
            <w:r>
              <w:t xml:space="preserve">Un serveur BY+ : NetByUs, SaaS ou dédié</w:t>
            </w:r>
          </w:p>
        </w:tc>
        <w:tc>
          <w:tcPr>
            <w:tcW w:w="1467" w:type="dxa"/>
          </w:tcPr>
          <w:p>
            <w:pPr/>
            <w:r>
              <w:t xml:space="preserve">Non</w:t>
            </w:r>
          </w:p>
        </w:tc>
        <w:tc>
          <w:tcPr>
            <w:tcW w:w="1550" w:type="dxa"/>
          </w:tcPr>
          <w:p>
            <w:pPr/>
          </w:p>
        </w:tc>
      </w:tr>
      <w:tr>
        <w:tc>
          <w:tcPr>
            <w:tcW w:w="1423" w:type="dxa"/>
          </w:tcPr>
          <w:p>
            <w:pPr/>
            <w:r>
              <w:t xml:space="preserve">Console NetByUs</w:t>
            </w:r>
          </w:p>
        </w:tc>
        <w:tc>
          <w:tcPr>
            <w:tcW w:w="4920" w:type="dxa"/>
          </w:tcPr>
          <w:p>
            <w:pPr/>
            <w:r>
              <w:t xml:space="preserve">Le back-office de NetByUs : clients, offres, licences, support</w:t>
            </w:r>
          </w:p>
        </w:tc>
        <w:tc>
          <w:tcPr>
            <w:tcW w:w="1467" w:type="dxa"/>
          </w:tcPr>
          <w:p>
            <w:pPr/>
            <w:r>
              <w:t xml:space="preserve">Jamais</w:t>
            </w:r>
          </w:p>
        </w:tc>
        <w:tc>
          <w:tcPr>
            <w:tcW w:w="1550" w:type="dxa"/>
          </w:tcPr>
          <w:p>
            <w:pPr/>
          </w:p>
        </w:tc>
      </w:tr>
      <w:tr>
        <w:tc>
          <w:tcPr>
            <w:tcW w:w="1423" w:type="dxa"/>
          </w:tcPr>
          <w:p>
            <w:pPr/>
            <w:r>
              <w:t xml:space="preserve">Application (dans la console)</w:t>
            </w:r>
          </w:p>
        </w:tc>
        <w:tc>
          <w:tcPr>
            <w:tcW w:w="4920" w:type="dxa"/>
          </w:tcPr>
          <w:p>
            <w:pPr/>
            <w:r>
              <w:t xml:space="preserve">Un produit enregistré dans la console, avec ses licences</w:t>
            </w:r>
          </w:p>
        </w:tc>
        <w:tc>
          <w:tcPr>
            <w:tcW w:w="1467" w:type="dxa"/>
          </w:tcPr>
          <w:p>
            <w:pPr/>
            <w:r>
              <w:t xml:space="preserve">Oui</w:t>
            </w:r>
          </w:p>
        </w:tc>
        <w:tc>
          <w:tcPr>
            <w:tcW w:w="1550" w:type="dxa"/>
          </w:tcPr>
          <w:p>
            <w:pPr/>
            <w:r>
              <w:t xml:space="preserve">BY+, Shop mobile, ECU, Influencer</w:t>
            </w:r>
          </w:p>
        </w:tc>
      </w:tr>
    </w:tbl>
    <w:p>
      <w:pPr>
        <w:pStyle w:val="Heading3"/>
      </w:pPr>
      <w:r>
        <w:t xml:space="preserve">L'image à retenir : un smartphone</w:t>
      </w:r>
    </w:p>
    <w:tbl>
      <w:tblPr>
        <w:tblStyle w:val="TableGrid"/>
        <w:tblW w:w="0" w:type="auto"/>
        <w:tblLayout w:type="fixed"/>
        <w:tblLook w:val="04A0" w:firstRow="1" w:lastRow="0" w:firstColumn="0" w:lastColumn="0" w:noHBand="0" w:noVBand="1"/>
      </w:tblPr>
      <w:tblGrid>
        <w:gridCol w:w="4555"/>
        <w:gridCol w:w="4804"/>
      </w:tblGrid>
      <w:tr>
        <w:trPr>
          <w:tblHeader/>
        </w:trPr>
        <w:tc>
          <w:tcPr>
            <w:tcW w:w="4555" w:type="dxa"/>
            <w:shd w:val="clear" w:color="auto" w:fill="F2F2F2"/>
          </w:tcPr>
          <w:p>
            <w:pPr/>
            <w:r>
              <w:t xml:space="preserve">Smartphone</w:t>
            </w:r>
          </w:p>
        </w:tc>
        <w:tc>
          <w:tcPr>
            <w:tcW w:w="4804" w:type="dxa"/>
            <w:shd w:val="clear" w:color="auto" w:fill="F2F2F2"/>
          </w:tcPr>
          <w:p>
            <w:pPr/>
            <w:r>
              <w:t xml:space="preserve">BY+</w:t>
            </w:r>
          </w:p>
        </w:tc>
      </w:tr>
      <w:tr>
        <w:tc>
          <w:tcPr>
            <w:tcW w:w="4555" w:type="dxa"/>
          </w:tcPr>
          <w:p>
            <w:pPr/>
            <w:r>
              <w:t xml:space="preserve">Le système du téléphone</w:t>
            </w:r>
          </w:p>
        </w:tc>
        <w:tc>
          <w:tcPr>
            <w:tcW w:w="4804" w:type="dxa"/>
          </w:tcPr>
          <w:p>
            <w:pPr/>
            <w:r>
              <w:t xml:space="preserve">Le socle</w:t>
            </w:r>
          </w:p>
        </w:tc>
      </w:tr>
      <w:tr>
        <w:tc>
          <w:tcPr>
            <w:tcW w:w="4555" w:type="dxa"/>
          </w:tcPr>
          <w:p>
            <w:pPr/>
            <w:r>
              <w:t xml:space="preserve">Une application</w:t>
            </w:r>
          </w:p>
        </w:tc>
        <w:tc>
          <w:tcPr>
            <w:tcW w:w="4804" w:type="dxa"/>
          </w:tcPr>
          <w:p>
            <w:pPr/>
            <w:r>
              <w:t xml:space="preserve">Un module</w:t>
            </w:r>
          </w:p>
        </w:tc>
      </w:tr>
      <w:tr>
        <w:tc>
          <w:tcPr>
            <w:tcW w:w="4555" w:type="dxa"/>
          </w:tcPr>
          <w:p>
            <w:pPr/>
            <w:r>
              <w:t xml:space="preserve">Le bouton « Partager vers… »</w:t>
            </w:r>
          </w:p>
        </w:tc>
        <w:tc>
          <w:tcPr>
            <w:tcW w:w="4804" w:type="dxa"/>
          </w:tcPr>
          <w:p>
            <w:pPr/>
            <w:r>
              <w:t xml:space="preserve">Un pont</w:t>
            </w:r>
          </w:p>
        </w:tc>
      </w:tr>
      <w:tr>
        <w:tc>
          <w:tcPr>
            <w:tcW w:w="4555" w:type="dxa"/>
          </w:tcPr>
          <w:p>
            <w:pPr/>
            <w:r>
              <w:t xml:space="preserve">Les applications installées par chacun</w:t>
            </w:r>
          </w:p>
        </w:tc>
        <w:tc>
          <w:tcPr>
            <w:tcW w:w="4804" w:type="dxa"/>
          </w:tcPr>
          <w:p>
            <w:pPr/>
            <w:r>
              <w:t xml:space="preserve">L'offre du client</w:t>
            </w:r>
          </w:p>
        </w:tc>
      </w:tr>
      <w:tr>
        <w:tc>
          <w:tcPr>
            <w:tcW w:w="4555" w:type="dxa"/>
          </w:tcPr>
          <w:p>
            <w:pPr/>
            <w:r>
              <w:t xml:space="preserve">L'opérateur et sa carte SIM signée</w:t>
            </w:r>
          </w:p>
        </w:tc>
        <w:tc>
          <w:tcPr>
            <w:tcW w:w="4804" w:type="dxa"/>
          </w:tcPr>
          <w:p>
            <w:pPr/>
            <w:r>
              <w:t xml:space="preserve">La console NetByUs et la licence signée</w:t>
            </w:r>
          </w:p>
        </w:tc>
      </w:tr>
    </w:tbl>
    <w:p>
      <w:pPr/>
      <w:r>
        <w:t xml:space="preserve">Tous les téléphones d'un même modèle ont le même système : ce qui les distingue, ce sont les applications installées et les réglages. Il en va de même pour les clients BY+ : même code, modules et réglages différents.</w:t>
      </w:r>
    </w:p>
    <w:p>
      <w:pPr>
        <w:pStyle w:val="Heading2"/>
      </w:pPr>
      <w:r>
        <w:t xml:space="preserve">5. Comment s'organise l'offre</w:t>
      </w:r>
    </w:p>
    <w:p>
      <w:pPr/>
      <w:r>
        <w:t xml:space="preserve">Le client achète des modules. Les familles servent à classer le catalogue et les ponts s'ajoutent d'eux-mêmes.</w:t>
      </w:r>
    </w:p>
    <w:p>
      <w:pPr>
        <w:pStyle w:val="Heading3"/>
      </w:pPr>
      <w:r>
        <w:t xml:space="preserve">5.1 Les niveaux</w:t>
      </w:r>
    </w:p>
    <w:tbl>
      <w:tblPr>
        <w:tblStyle w:val="TableGrid"/>
        <w:tblW w:w="0" w:type="auto"/>
        <w:tblLayout w:type="fixed"/>
        <w:tblLook w:val="04A0" w:firstRow="1" w:lastRow="0" w:firstColumn="0" w:lastColumn="0" w:noHBand="0" w:noVBand="1"/>
      </w:tblPr>
      <w:tblGrid>
        <w:gridCol w:w="1867"/>
        <w:gridCol w:w="4380"/>
        <w:gridCol w:w="3113"/>
      </w:tblGrid>
      <w:tr>
        <w:trPr>
          <w:tblHeader/>
        </w:trPr>
        <w:tc>
          <w:tcPr>
            <w:tcW w:w="1867" w:type="dxa"/>
            <w:shd w:val="clear" w:color="auto" w:fill="F2F2F2"/>
          </w:tcPr>
          <w:p>
            <w:pPr/>
            <w:r>
              <w:t xml:space="preserve">Niveau</w:t>
            </w:r>
          </w:p>
        </w:tc>
        <w:tc>
          <w:tcPr>
            <w:tcW w:w="4380" w:type="dxa"/>
            <w:shd w:val="clear" w:color="auto" w:fill="F2F2F2"/>
          </w:tcPr>
          <w:p>
            <w:pPr/>
            <w:r>
              <w:t xml:space="preserve">Rôle</w:t>
            </w:r>
          </w:p>
        </w:tc>
        <w:tc>
          <w:tcPr>
            <w:tcW w:w="3113" w:type="dxa"/>
            <w:shd w:val="clear" w:color="auto" w:fill="F2F2F2"/>
          </w:tcPr>
          <w:p>
            <w:pPr/>
            <w:r>
              <w:t xml:space="preserve">S'achète ?</w:t>
            </w:r>
          </w:p>
        </w:tc>
      </w:tr>
      <w:tr>
        <w:tc>
          <w:tcPr>
            <w:tcW w:w="1867" w:type="dxa"/>
          </w:tcPr>
          <w:p>
            <w:pPr/>
            <w:r>
              <w:t xml:space="preserve">Socle</w:t>
            </w:r>
          </w:p>
        </w:tc>
        <w:tc>
          <w:tcPr>
            <w:tcW w:w="4380" w:type="dxa"/>
          </w:tcPr>
          <w:p>
            <w:pPr/>
            <w:r>
              <w:t xml:space="preserve">Fonctions communes à tous les clients</w:t>
            </w:r>
          </w:p>
        </w:tc>
        <w:tc>
          <w:tcPr>
            <w:tcW w:w="3113" w:type="dxa"/>
          </w:tcPr>
          <w:p>
            <w:pPr/>
            <w:r>
              <w:t xml:space="preserve">Non, inclus partout</w:t>
            </w:r>
          </w:p>
        </w:tc>
      </w:tr>
      <w:tr>
        <w:tc>
          <w:tcPr>
            <w:tcW w:w="1867" w:type="dxa"/>
          </w:tcPr>
          <w:p>
            <w:pPr/>
            <w:r>
              <w:t xml:space="preserve">Famille</w:t>
            </w:r>
          </w:p>
        </w:tc>
        <w:tc>
          <w:tcPr>
            <w:tcW w:w="4380" w:type="dxa"/>
          </w:tcPr>
          <w:p>
            <w:pPr/>
            <w:r>
              <w:t xml:space="preserve">Classement des modules par métier</w:t>
            </w:r>
          </w:p>
        </w:tc>
        <w:tc>
          <w:tcPr>
            <w:tcW w:w="3113" w:type="dxa"/>
          </w:tcPr>
          <w:p>
            <w:pPr/>
            <w:r>
              <w:t xml:space="preserve">Non</w:t>
            </w:r>
          </w:p>
        </w:tc>
      </w:tr>
      <w:tr>
        <w:tc>
          <w:tcPr>
            <w:tcW w:w="1867" w:type="dxa"/>
          </w:tcPr>
          <w:p>
            <w:pPr/>
            <w:r>
              <w:t xml:space="preserve">Module</w:t>
            </w:r>
          </w:p>
        </w:tc>
        <w:tc>
          <w:tcPr>
            <w:tcW w:w="4380" w:type="dxa"/>
          </w:tcPr>
          <w:p>
            <w:pPr/>
            <w:r>
              <w:t xml:space="preserve">Un métier complet, utilisable seul</w:t>
            </w:r>
          </w:p>
        </w:tc>
        <w:tc>
          <w:tcPr>
            <w:tcW w:w="3113" w:type="dxa"/>
          </w:tcPr>
          <w:p>
            <w:pPr/>
            <w:r>
              <w:t xml:space="preserve">Oui</w:t>
            </w:r>
          </w:p>
        </w:tc>
      </w:tr>
      <w:tr>
        <w:tc>
          <w:tcPr>
            <w:tcW w:w="1867" w:type="dxa"/>
          </w:tcPr>
          <w:p>
            <w:pPr/>
            <w:r>
              <w:t xml:space="preserve">Module de base</w:t>
            </w:r>
          </w:p>
        </w:tc>
        <w:tc>
          <w:tcPr>
            <w:tcW w:w="4380" w:type="dxa"/>
          </w:tcPr>
          <w:p>
            <w:pPr/>
            <w:r>
              <w:t xml:space="preserve">Module partagé, pas utile seul</w:t>
            </w:r>
          </w:p>
        </w:tc>
        <w:tc>
          <w:tcPr>
            <w:tcW w:w="3113" w:type="dxa"/>
          </w:tcPr>
          <w:p>
            <w:pPr/>
            <w:r>
              <w:t xml:space="preserve">Non, activé avec le module qui le requiert</w:t>
            </w:r>
          </w:p>
        </w:tc>
      </w:tr>
      <w:tr>
        <w:tc>
          <w:tcPr>
            <w:tcW w:w="1867" w:type="dxa"/>
          </w:tcPr>
          <w:p>
            <w:pPr/>
            <w:r>
              <w:t xml:space="preserve">Pont</w:t>
            </w:r>
          </w:p>
        </w:tc>
        <w:tc>
          <w:tcPr>
            <w:tcW w:w="4380" w:type="dxa"/>
          </w:tcPr>
          <w:p>
            <w:pPr/>
            <w:r>
              <w:t xml:space="preserve">Lien entre deux modules facultatifs</w:t>
            </w:r>
          </w:p>
        </w:tc>
        <w:tc>
          <w:tcPr>
            <w:tcW w:w="3113" w:type="dxa"/>
          </w:tcPr>
          <w:p>
            <w:pPr/>
            <w:r>
              <w:t xml:space="preserve">Non, automatique</w:t>
            </w:r>
          </w:p>
        </w:tc>
      </w:tr>
      <w:tr>
        <w:tc>
          <w:tcPr>
            <w:tcW w:w="1867" w:type="dxa"/>
          </w:tcPr>
          <w:p>
            <w:pPr/>
            <w:r>
              <w:t xml:space="preserve">Offre</w:t>
            </w:r>
          </w:p>
        </w:tc>
        <w:tc>
          <w:tcPr>
            <w:tcW w:w="4380" w:type="dxa"/>
          </w:tcPr>
          <w:p>
            <w:pPr/>
            <w:r>
              <w:t xml:space="preserve">Les modules d'un client</w:t>
            </w:r>
          </w:p>
        </w:tc>
        <w:tc>
          <w:tcPr>
            <w:tcW w:w="3113" w:type="dxa"/>
          </w:tcPr>
          <w:p>
            <w:pPr/>
            <w:r>
              <w:t xml:space="preserve">C'est ce qui se vend</w:t>
            </w:r>
          </w:p>
        </w:tc>
      </w:tr>
    </w:tbl>
    <w:p>
      <w:pPr>
        <w:pStyle w:val="Heading3"/>
      </w:pPr>
      <w:r>
        <w:t xml:space="preserve">5.2 Prendre uniquement ce dont on a besoin</w:t>
      </w:r>
    </w:p>
    <w:p>
      <w:pPr/>
      <w:r>
        <w:t xml:space="preserve">Une famille n'est pas un panier. Le client choisit des modules dans une ou plusieurs familles. Exemple : une boutique prend POS (famille Vente) et Paie (famille RH), sans rien d'autre. Les modules requis s'ajoutent d'eux-mêmes : POS active Catalogue et Moyens de paiement, Paie active Collaborateurs.</w:t>
      </w:r>
    </w:p>
    <w:p>
      <w:pPr>
        <w:pStyle w:val="Heading3"/>
      </w:pPr>
      <w:r>
        <w:t xml:space="preserve">5.3 Requis ou pont ?</w:t>
      </w:r>
    </w:p>
    <w:p>
      <w:pPr/>
      <w:r>
        <w:t xml:space="preserve">La question qui tranche : le module A a-t-il un sens chez un client qui n'a pas B ?</w:t>
      </w:r>
    </w:p>
    <w:tbl>
      <w:tblPr>
        <w:tblStyle w:val="TableGrid"/>
        <w:tblW w:w="0" w:type="auto"/>
        <w:tblLayout w:type="fixed"/>
        <w:tblLook w:val="04A0" w:firstRow="1" w:lastRow="0" w:firstColumn="0" w:lastColumn="0" w:noHBand="0" w:noVBand="1"/>
      </w:tblPr>
      <w:tblGrid>
        <w:gridCol w:w="2320"/>
        <w:gridCol w:w="4009"/>
        <w:gridCol w:w="3030"/>
      </w:tblGrid>
      <w:tr>
        <w:trPr>
          <w:tblHeader/>
        </w:trPr>
        <w:tc>
          <w:tcPr>
            <w:tcW w:w="2320" w:type="dxa"/>
            <w:shd w:val="clear" w:color="auto" w:fill="F2F2F2"/>
          </w:tcPr>
          <w:p>
            <w:pPr/>
            <w:r>
              <w:t xml:space="preserve">Cas</w:t>
            </w:r>
          </w:p>
        </w:tc>
        <w:tc>
          <w:tcPr>
            <w:tcW w:w="4009" w:type="dxa"/>
            <w:shd w:val="clear" w:color="auto" w:fill="F2F2F2"/>
          </w:tcPr>
          <w:p>
            <w:pPr/>
            <w:r>
              <w:t xml:space="preserve">Règle</w:t>
            </w:r>
          </w:p>
        </w:tc>
        <w:tc>
          <w:tcPr>
            <w:tcW w:w="3030" w:type="dxa"/>
            <w:shd w:val="clear" w:color="auto" w:fill="F2F2F2"/>
          </w:tcPr>
          <w:p>
            <w:pPr/>
            <w:r>
              <w:t xml:space="preserve">Exemple</w:t>
            </w:r>
          </w:p>
        </w:tc>
      </w:tr>
      <w:tr>
        <w:tc>
          <w:tcPr>
            <w:tcW w:w="2320" w:type="dxa"/>
          </w:tcPr>
          <w:p>
            <w:pPr/>
            <w:r>
              <w:t xml:space="preserve">A n'a pas de sens sans B</w:t>
            </w:r>
          </w:p>
        </w:tc>
        <w:tc>
          <w:tcPr>
            <w:tcW w:w="4009" w:type="dxa"/>
          </w:tcPr>
          <w:p>
            <w:pPr/>
            <w:r>
              <w:t xml:space="preserve">A requiert B, qui s'active avec lui</w:t>
            </w:r>
          </w:p>
        </w:tc>
        <w:tc>
          <w:tcPr>
            <w:tcW w:w="3030" w:type="dxa"/>
          </w:tcPr>
          <w:p>
            <w:pPr/>
            <w:r>
              <w:t xml:space="preserve">Paie requiert Collaborateurs ; POS requiert Catalogue et Moyens de paiement</w:t>
            </w:r>
          </w:p>
        </w:tc>
      </w:tr>
      <w:tr>
        <w:tc>
          <w:tcPr>
            <w:tcW w:w="2320" w:type="dxa"/>
          </w:tcPr>
          <w:p>
            <w:pPr/>
            <w:r>
              <w:t xml:space="preserve">A et B vivent l'un sans l'autre</w:t>
            </w:r>
          </w:p>
        </w:tc>
        <w:tc>
          <w:tcPr>
            <w:tcW w:w="4009" w:type="dxa"/>
          </w:tcPr>
          <w:p>
            <w:pPr/>
            <w:r>
              <w:t xml:space="preserve">Un pont les relie, actif seulement si le client a les deux</w:t>
            </w:r>
          </w:p>
        </w:tc>
        <w:tc>
          <w:tcPr>
            <w:tcW w:w="3030" w:type="dxa"/>
          </w:tcPr>
          <w:p>
            <w:pPr/>
            <w:r>
              <w:t xml:space="preserve">pos-entrepot, pos-contacts</w:t>
            </w:r>
          </w:p>
        </w:tc>
      </w:tr>
      <w:tr>
        <w:tc>
          <w:tcPr>
            <w:tcW w:w="2320" w:type="dxa"/>
          </w:tcPr>
          <w:p>
            <w:pPr/>
            <w:r>
              <w:t xml:space="preserve">B n'est là que parce que A le requiert</w:t>
            </w:r>
          </w:p>
        </w:tc>
        <w:tc>
          <w:tcPr>
            <w:tcW w:w="4009" w:type="dxa"/>
          </w:tcPr>
          <w:p>
            <w:pPr/>
            <w:r>
              <w:t xml:space="preserve">Retirer B est refusé tant que A est actif</w:t>
            </w:r>
          </w:p>
        </w:tc>
        <w:tc>
          <w:tcPr>
            <w:tcW w:w="3030" w:type="dxa"/>
          </w:tcPr>
          <w:p>
            <w:pPr/>
            <w:r>
              <w:t xml:space="preserve">Catalogue, retiré après POS</w:t>
            </w:r>
          </w:p>
        </w:tc>
      </w:tr>
      <w:tr>
        <w:tc>
          <w:tcPr>
            <w:tcW w:w="2320" w:type="dxa"/>
          </w:tcPr>
          <w:p>
            <w:pPr/>
            <w:r>
              <w:t xml:space="preserve">Limites</w:t>
            </w:r>
          </w:p>
        </w:tc>
        <w:tc>
          <w:tcPr>
            <w:tcW w:w="4009" w:type="dxa"/>
          </w:tcPr>
          <w:p>
            <w:pPr/>
            <w:r>
              <w:t xml:space="preserve">Deux niveaux de dépendance au plus, jamais de cycle</w:t>
            </w:r>
          </w:p>
        </w:tc>
        <w:tc>
          <w:tcPr>
            <w:tcW w:w="3030" w:type="dxa"/>
          </w:tcPr>
          <w:p>
            <w:pPr/>
          </w:p>
        </w:tc>
      </w:tr>
    </w:tbl>
    <w:p>
      <w:pPr>
        <w:pStyle w:val="Heading3"/>
      </w:pPr>
      <w:r>
        <w:t xml:space="preserve">5.4 Ce qui se règle à l'intérieur d'un module</w:t>
      </w:r>
    </w:p>
    <w:p>
      <w:pPr/>
      <w:r>
        <w:t xml:space="preserve">Un module porte ses droits (permissions), ses réglages et ses quotas. Une offre fixe peut ne donner qu'une partie des permissions d'un module et chiffrer des options (nombre d'utilisateurs, stockage).</w:t>
      </w:r>
    </w:p>
    <w:p>
      <w:pPr/>
      <w:r>
        <w:t xml:space="preserve">Un besoin propre à un client suit l'échelle de personnalisation : réglage, configuration, option pour tous, extension client, intégration. Règle des trois clients : si trois clients demandent la même extension, elle devient une option du module.</w:t>
      </w:r>
    </w:p>
    <w:p>
      <w:pPr>
        <w:pStyle w:val="Heading3"/>
      </w:pPr>
      <w:r>
        <w:t xml:space="preserve">5.5 Quand une fonction est-elle un module ?</w:t>
      </w:r>
    </w:p>
    <w:tbl>
      <w:tblPr>
        <w:tblStyle w:val="TableGrid"/>
        <w:tblW w:w="0" w:type="auto"/>
        <w:tblLayout w:type="fixed"/>
        <w:tblLook w:val="04A0" w:firstRow="1" w:lastRow="0" w:firstColumn="0" w:lastColumn="0" w:noHBand="0" w:noVBand="1"/>
      </w:tblPr>
      <w:tblGrid>
        <w:gridCol w:w="720"/>
        <w:gridCol w:w="3720"/>
        <w:gridCol w:w="4920"/>
      </w:tblGrid>
      <w:tr>
        <w:trPr>
          <w:tblHeader/>
        </w:trPr>
        <w:tc>
          <w:tcPr>
            <w:tcW w:w="720" w:type="dxa"/>
            <w:shd w:val="clear" w:color="auto" w:fill="F2F2F2"/>
          </w:tcPr>
          <w:p>
            <w:pPr/>
            <w:r>
              <w:t xml:space="preserve">#</w:t>
            </w:r>
          </w:p>
        </w:tc>
        <w:tc>
          <w:tcPr>
            <w:tcW w:w="3720" w:type="dxa"/>
            <w:shd w:val="clear" w:color="auto" w:fill="F2F2F2"/>
          </w:tcPr>
          <w:p>
            <w:pPr/>
            <w:r>
              <w:t xml:space="preserve">Question</w:t>
            </w:r>
          </w:p>
        </w:tc>
        <w:tc>
          <w:tcPr>
            <w:tcW w:w="4920" w:type="dxa"/>
            <w:shd w:val="clear" w:color="auto" w:fill="F2F2F2"/>
          </w:tcPr>
          <w:p>
            <w:pPr/>
            <w:r>
              <w:t xml:space="preserve">Si la réponse est non</w:t>
            </w:r>
          </w:p>
        </w:tc>
      </w:tr>
      <w:tr>
        <w:tc>
          <w:tcPr>
            <w:tcW w:w="720" w:type="dxa"/>
          </w:tcPr>
          <w:p>
            <w:pPr/>
            <w:r>
              <w:t xml:space="preserve">1</w:t>
            </w:r>
          </w:p>
        </w:tc>
        <w:tc>
          <w:tcPr>
            <w:tcW w:w="3720" w:type="dxa"/>
          </w:tcPr>
          <w:p>
            <w:pPr/>
            <w:r>
              <w:t xml:space="preserve">Un client peut-il s'en servir seul ?</w:t>
            </w:r>
          </w:p>
        </w:tc>
        <w:tc>
          <w:tcPr>
            <w:tcW w:w="4920" w:type="dxa"/>
          </w:tcPr>
          <w:p>
            <w:pPr/>
            <w:r>
              <w:t xml:space="preserve">Module de base (requis par plusieurs), ou partie d'un module, ou pont</w:t>
            </w:r>
          </w:p>
        </w:tc>
      </w:tr>
      <w:tr>
        <w:tc>
          <w:tcPr>
            <w:tcW w:w="720" w:type="dxa"/>
          </w:tcPr>
          <w:p>
            <w:pPr/>
            <w:r>
              <w:t xml:space="preserve">2</w:t>
            </w:r>
          </w:p>
        </w:tc>
        <w:tc>
          <w:tcPr>
            <w:tcW w:w="3720" w:type="dxa"/>
          </w:tcPr>
          <w:p>
            <w:pPr/>
            <w:r>
              <w:t xml:space="preserve">A-t-il son menu et ses écrans ?</w:t>
            </w:r>
          </w:p>
        </w:tc>
        <w:tc>
          <w:tcPr>
            <w:tcW w:w="4920" w:type="dxa"/>
          </w:tcPr>
          <w:p>
            <w:pPr/>
            <w:r>
              <w:t xml:space="preserve">C'est un morceau du socle ou d'un autre module</w:t>
            </w:r>
          </w:p>
        </w:tc>
      </w:tr>
      <w:tr>
        <w:tc>
          <w:tcPr>
            <w:tcW w:w="720" w:type="dxa"/>
          </w:tcPr>
          <w:p>
            <w:pPr/>
            <w:r>
              <w:t xml:space="preserve">3</w:t>
            </w:r>
          </w:p>
        </w:tc>
        <w:tc>
          <w:tcPr>
            <w:tcW w:w="3720" w:type="dxa"/>
          </w:tcPr>
          <w:p>
            <w:pPr/>
            <w:r>
              <w:t xml:space="preserve">A-t-il ses propres droits ?</w:t>
            </w:r>
          </w:p>
        </w:tc>
        <w:tc>
          <w:tcPr>
            <w:tcW w:w="4920" w:type="dxa"/>
          </w:tcPr>
          <w:p>
            <w:pPr/>
            <w:r>
              <w:t xml:space="preserve">Trop petit : le regrouper avec un module voisin</w:t>
            </w:r>
          </w:p>
        </w:tc>
      </w:tr>
      <w:tr>
        <w:tc>
          <w:tcPr>
            <w:tcW w:w="720" w:type="dxa"/>
          </w:tcPr>
          <w:p>
            <w:pPr/>
            <w:r>
              <w:t xml:space="preserve">4</w:t>
            </w:r>
          </w:p>
        </w:tc>
        <w:tc>
          <w:tcPr>
            <w:tcW w:w="3720" w:type="dxa"/>
          </w:tcPr>
          <w:p>
            <w:pPr/>
            <w:r>
              <w:t xml:space="preserve">Peut-on le retirer sans casser un autre module ?</w:t>
            </w:r>
          </w:p>
        </w:tc>
        <w:tc>
          <w:tcPr>
            <w:tcW w:w="4920" w:type="dxa"/>
          </w:tcPr>
          <w:p>
            <w:pPr/>
            <w:r>
              <w:t xml:space="preserve">Le système refuse de le retirer tant que d'autres l'exigent ; si tout le monde en a besoin, il va dans le socle</w:t>
            </w:r>
          </w:p>
        </w:tc>
      </w:tr>
    </w:tbl>
    <w:p>
      <w:pPr>
        <w:pStyle w:val="Heading3"/>
      </w:pPr>
      <w:r>
        <w:t xml:space="preserve">5.6 Trois portes d'entrée</w:t>
      </w:r>
    </w:p>
    <w:p>
      <w:pPr/>
      <w:r>
        <w:t xml:space="preserve">Le même catalogue s'ouvre de trois façons : par offre fixe (« je tiens une boutique »), par besoin (« je veux gérer mes salariés »), ou à la carte, module par module. Seul le chemin change. Le site public propose déjà de souscrire une offre publiée ou de composer ses modules.</w:t>
      </w:r>
    </w:p>
    <w:p>
      <w:pPr>
        <w:pStyle w:val="Heading2"/>
      </w:pPr>
      <w:r>
        <w:t xml:space="preserve">6. Le catalogue : familles et modules</w:t>
      </w:r>
    </w:p>
    <w:p>
      <w:pPr/>
      <w:r>
        <w:t xml:space="preserve">Le catalogue compte </w:t>
      </w:r>
      <w:r>
        <w:rPr>
          <w:b/>
          <w:bCs/>
        </w:rPr>
        <w:t xml:space="preserve">33 modules en 8 familles</w:t>
      </w:r>
      <w:r>
        <w:t xml:space="preserve">. Chaque case du schéma est un module ; la famille ne sert qu'à les regrouper.</w:t>
      </w:r>
    </w:p>
    <w:p>
      <w:pPr/>
      <w:r>
        <w:drawing>
          <wp:inline distT="0" distB="0" distL="0" distR="0">
            <wp:extent cx="5486400" cy="3445328"/>
            <wp:docPr id="1" name="image1" descr="familles et modules du catalogue · 8 familles, 33 modules"/>
            <a:graphic xmlns:a="http://schemas.openxmlformats.org/drawingml/2006/main">
              <a:graphicData uri="http://schemas.openxmlformats.org/drawingml/2006/picture">
                <pic:pic xmlns:pic="http://schemas.openxmlformats.org/drawingml/2006/picture">
                  <pic:nvPicPr>
                    <pic:cNvPr id="1" name="image1" descr="familles et modules du catalogue · 8 familles, 33 modules"/>
                    <pic:cNvPicPr/>
                  </pic:nvPicPr>
                  <pic:blipFill>
                    <a:blip r:embed="rId3"/>
                    <a:stretch>
                      <a:fillRect/>
                    </a:stretch>
                  </pic:blipFill>
                  <pic:spPr>
                    <a:xfrm>
                      <a:off x="0" y="0"/>
                      <a:ext cx="5486400" cy="3445328"/>
                    </a:xfrm>
                    <a:prstGeom prst="rect">
                      <a:avLst/>
                    </a:prstGeom>
                  </pic:spPr>
                </pic:pic>
              </a:graphicData>
            </a:graphic>
          </wp:inline>
        </w:drawing>
      </w:r>
    </w:p>
    <w:p>
      <w:pPr/>
      <w:r>
        <w:t xml:space="preserve">familles et modules du catalogue · 8 familles, 33 modules</w:t>
      </w:r>
    </w:p>
    <w:p>
      <w:pPr/>
      <w:r>
        <w:t xml:space="preserve">Deux modules de base transversaux s'ajoutent aux 33 : Moyens de paiement, utilisé par la caisse, et Normalisation, qui certifie les factures auprès de l'administration fiscale du Bénin.</w:t>
      </w:r>
    </w:p>
    <w:p>
      <w:pPr>
        <w:pStyle w:val="Heading3"/>
      </w:pPr>
      <w:r>
        <w:t xml:space="preserve">6.1 D'où viennent les modules</w:t>
      </w:r>
    </w:p>
    <w:p>
      <w:pPr/>
      <w:r>
        <w:t xml:space="preserve">Une partie des modules reprend les fonctions de l'ancien BY+, dont le code sert de référence métier, pas de base à copier. D'autres, comme Fidélité, n'existaient pas.</w:t>
      </w:r>
    </w:p>
    <w:p>
      <w:pPr>
        <w:pStyle w:val="Heading3"/>
      </w:pPr>
      <w:r>
        <w:t xml:space="preserve">6.2 Ce qui reste à définir dans le catalogue</w:t>
      </w:r>
    </w:p>
    <w:tbl>
      <w:tblPr>
        <w:tblStyle w:val="TableGrid"/>
        <w:tblW w:w="0" w:type="auto"/>
        <w:tblLayout w:type="fixed"/>
        <w:tblLook w:val="04A0" w:firstRow="1" w:lastRow="0" w:firstColumn="0" w:lastColumn="0" w:noHBand="0" w:noVBand="1"/>
      </w:tblPr>
      <w:tblGrid>
        <w:gridCol w:w="1827"/>
        <w:gridCol w:w="4742"/>
        <w:gridCol w:w="2791"/>
      </w:tblGrid>
      <w:tr>
        <w:trPr>
          <w:tblHeader/>
        </w:trPr>
        <w:tc>
          <w:tcPr>
            <w:tcW w:w="1827" w:type="dxa"/>
            <w:shd w:val="clear" w:color="auto" w:fill="F2F2F2"/>
          </w:tcPr>
          <w:p>
            <w:pPr/>
            <w:r>
              <w:t xml:space="preserve">Sujet</w:t>
            </w:r>
          </w:p>
        </w:tc>
        <w:tc>
          <w:tcPr>
            <w:tcW w:w="4742" w:type="dxa"/>
            <w:shd w:val="clear" w:color="auto" w:fill="F2F2F2"/>
          </w:tcPr>
          <w:p>
            <w:pPr/>
            <w:r>
              <w:t xml:space="preserve">Constat</w:t>
            </w:r>
          </w:p>
        </w:tc>
        <w:tc>
          <w:tcPr>
            <w:tcW w:w="2791" w:type="dxa"/>
            <w:shd w:val="clear" w:color="auto" w:fill="F2F2F2"/>
          </w:tcPr>
          <w:p>
            <w:pPr/>
            <w:r>
              <w:t xml:space="preserve">À décider</w:t>
            </w:r>
          </w:p>
        </w:tc>
      </w:tr>
      <w:tr>
        <w:tc>
          <w:tcPr>
            <w:tcW w:w="1827" w:type="dxa"/>
          </w:tcPr>
          <w:p>
            <w:pPr/>
            <w:r>
              <w:t xml:space="preserve">Restauration</w:t>
            </w:r>
          </w:p>
        </w:tc>
        <w:tc>
          <w:tcPr>
            <w:tcW w:w="4742" w:type="dxa"/>
          </w:tcPr>
          <w:p>
            <w:pPr/>
            <w:r>
              <w:t xml:space="preserve">Aucun module de salle, de cuisine, de recettes ni de réservations</w:t>
            </w:r>
          </w:p>
        </w:tc>
        <w:tc>
          <w:tcPr>
            <w:tcW w:w="2791" w:type="dxa"/>
          </w:tcPr>
          <w:p>
            <w:pPr/>
            <w:r>
              <w:t xml:space="preserve">Nouveaux modules, ou extension du POS</w:t>
            </w:r>
          </w:p>
        </w:tc>
      </w:tr>
      <w:tr>
        <w:tc>
          <w:tcPr>
            <w:tcW w:w="1827" w:type="dxa"/>
          </w:tcPr>
          <w:p>
            <w:pPr/>
            <w:r>
              <w:t xml:space="preserve">Comptabilité</w:t>
            </w:r>
          </w:p>
        </w:tc>
        <w:tc>
          <w:tcPr>
            <w:tcW w:w="4742" w:type="dxa"/>
          </w:tcPr>
          <w:p>
            <w:pPr/>
            <w:r>
              <w:t xml:space="preserve">Absente : seuls Dépenses, Budget et Facturation existent</w:t>
            </w:r>
          </w:p>
        </w:tc>
        <w:tc>
          <w:tcPr>
            <w:tcW w:w="2791" w:type="dxa"/>
          </w:tcPr>
          <w:p>
            <w:pPr/>
            <w:r>
              <w:t xml:space="preserve">Module dédié, ou intégration à un outil comptable</w:t>
            </w:r>
          </w:p>
        </w:tc>
      </w:tr>
      <w:tr>
        <w:tc>
          <w:tcPr>
            <w:tcW w:w="1827" w:type="dxa"/>
          </w:tcPr>
          <w:p>
            <w:pPr/>
            <w:r>
              <w:t xml:space="preserve">Mobile Money à l'encaissement</w:t>
            </w:r>
          </w:p>
        </w:tc>
        <w:tc>
          <w:tcPr>
            <w:tcW w:w="4742" w:type="dxa"/>
          </w:tcPr>
          <w:p>
            <w:pPr/>
            <w:r>
              <w:t xml:space="preserve">Mobile money est un moyen de paiement de la liste ; KkiaPay et FedaPay servent aux abonnements</w:t>
            </w:r>
          </w:p>
        </w:tc>
        <w:tc>
          <w:tcPr>
            <w:tcW w:w="2791" w:type="dxa"/>
          </w:tcPr>
          <w:p>
            <w:pPr/>
            <w:r>
              <w:t xml:space="preserve">Intégration directe des opérateurs en caisse</w:t>
            </w:r>
          </w:p>
        </w:tc>
      </w:tr>
      <w:tr>
        <w:tc>
          <w:tcPr>
            <w:tcW w:w="1827" w:type="dxa"/>
          </w:tcPr>
          <w:p>
            <w:pPr/>
            <w:r>
              <w:t xml:space="preserve">Packs pays</w:t>
            </w:r>
          </w:p>
        </w:tc>
        <w:tc>
          <w:tcPr>
            <w:tcW w:w="4742" w:type="dxa"/>
          </w:tcPr>
          <w:p>
            <w:pPr/>
            <w:r>
              <w:t xml:space="preserve">Tout est centré sur le Bénin : DGI, IFU, adresses locales</w:t>
            </w:r>
          </w:p>
        </w:tc>
        <w:tc>
          <w:tcPr>
            <w:tcW w:w="2791" w:type="dxa"/>
          </w:tcPr>
          <w:p>
            <w:pPr/>
            <w:r>
              <w:t xml:space="preserve">Définir la notion de pack pays avant un deuxième pays</w:t>
            </w:r>
          </w:p>
        </w:tc>
      </w:tr>
      <w:tr>
        <w:tc>
          <w:tcPr>
            <w:tcW w:w="1827" w:type="dxa"/>
          </w:tcPr>
          <w:p>
            <w:pPr/>
            <w:r>
              <w:t xml:space="preserve">Crédit client</w:t>
            </w:r>
          </w:p>
        </w:tc>
        <w:tc>
          <w:tcPr>
            <w:tcW w:w="4742" w:type="dxa"/>
          </w:tcPr>
          <w:p>
            <w:pPr/>
            <w:r>
              <w:t xml:space="preserve">Pas de suivi des ventes à crédit ni des relances</w:t>
            </w:r>
          </w:p>
        </w:tc>
        <w:tc>
          <w:tcPr>
            <w:tcW w:w="2791" w:type="dxa"/>
          </w:tcPr>
          <w:p>
            <w:pPr/>
            <w:r>
              <w:t xml:space="preserve">Module dédié</w:t>
            </w:r>
          </w:p>
        </w:tc>
      </w:tr>
      <w:tr>
        <w:tc>
          <w:tcPr>
            <w:tcW w:w="1827" w:type="dxa"/>
          </w:tcPr>
          <w:p>
            <w:pPr/>
            <w:r>
              <w:t xml:space="preserve">Campagnes SMS et WhatsApp</w:t>
            </w:r>
          </w:p>
        </w:tc>
        <w:tc>
          <w:tcPr>
            <w:tcW w:w="4742" w:type="dxa"/>
          </w:tcPr>
          <w:p>
            <w:pPr/>
            <w:r>
              <w:t xml:space="preserve">Les notifications du socle envoient par WhatsApp, mais aucun module de campagnes n'existe</w:t>
            </w:r>
          </w:p>
        </w:tc>
        <w:tc>
          <w:tcPr>
            <w:tcW w:w="2791" w:type="dxa"/>
          </w:tcPr>
          <w:p>
            <w:pPr/>
            <w:r>
              <w:t xml:space="preserve">Le lier à Fidélité et à Contacts</w:t>
            </w:r>
          </w:p>
        </w:tc>
      </w:tr>
    </w:tbl>
    <w:p>
      <w:pPr>
        <w:pStyle w:val="Heading2"/>
      </w:pPr>
      <w:r>
        <w:t xml:space="preserve">7. Les offres, les licences et le cycle de vie</w:t>
      </w:r>
    </w:p>
    <w:p>
      <w:pPr/>
      <w:r>
        <w:t xml:space="preserve">NetByUs vend des offres : le client choisit une offre fixe ou compose la sienne module par module, et une licence signée active ce qu'il a pris.</w:t>
      </w:r>
    </w:p>
    <w:p>
      <w:pPr>
        <w:pStyle w:val="Heading3"/>
      </w:pPr>
      <w:r>
        <w:t xml:space="preserve">7.1 Offres fixes et offres à la carte</w:t>
      </w:r>
    </w:p>
    <w:p>
      <w:pPr>
        <w:pStyle w:val="ListParagraph"/>
        <w:numPr>
          <w:ilvl w:val="0"/>
          <w:numId w:val="4"/>
        </w:numPr>
      </w:pPr>
      <w:r>
        <w:rPr>
          <w:b/>
          <w:bCs/>
        </w:rPr>
        <w:t xml:space="preserve">Offres fixes</w:t>
      </w:r>
      <w:r>
        <w:t xml:space="preserve"> : publiées par NetByUs pour une application. Elles regroupent des modules (avec tout ou partie de leurs permissions), un nombre d'utilisateurs, des options chiffrées, et des tarifs par durée et par hébergement.</w:t>
      </w:r>
    </w:p>
    <w:p>
      <w:pPr>
        <w:pStyle w:val="ListParagraph"/>
        <w:numPr>
          <w:ilvl w:val="0"/>
          <w:numId w:val="4"/>
        </w:numPr>
      </w:pPr>
      <w:r>
        <w:rPr>
          <w:b/>
          <w:bCs/>
        </w:rPr>
        <w:t xml:space="preserve">À la carte</w:t>
      </w:r>
      <w:r>
        <w:t xml:space="preserve"> : le client compose son offre module par module, avec une grille de prix versionnée, des options (stockage), des codes promo et un prorata pour un ajout en cours de période.</w:t>
      </w:r>
    </w:p>
    <w:p>
      <w:pPr>
        <w:pStyle w:val="ListParagraph"/>
        <w:numPr>
          <w:ilvl w:val="0"/>
          <w:numId w:val="4"/>
        </w:numPr>
      </w:pPr>
      <w:r>
        <w:t xml:space="preserve">Tous les montants de la console sont des entiers en F CFA.</w:t>
      </w:r>
    </w:p>
    <w:p>
      <w:pPr/>
      <w:r>
        <w:t xml:space="preserve">Des profils types servent d'exemples : Commerce (POS, Entrepôt, Fidélité), RH essentiel, RH complet, Accès, Commercial, Gestion, Événementiel, Notaire. Les noms commerciaux BY+ SHOP, ERP, ACCESS et EVENT restent à rattacher à ces offres (section 11).</w:t>
      </w:r>
    </w:p>
    <w:p>
      <w:pPr>
        <w:pStyle w:val="Heading3"/>
      </w:pPr>
      <w:r>
        <w:t xml:space="preserve">7.2 La licence signée</w:t>
      </w:r>
    </w:p>
    <w:p>
      <w:pPr/>
      <w:r>
        <w:t xml:space="preserve">La licence porte, pour chaque client, ses modules, ses permissions, ses quotas (utilisateurs, stockage, options), les applications externes autorisées, sa date de fin et sa date de fin de grâce. NetByUs la signe avec une clé privée qui ne quitte jamais son serveur, et chaque instance la vérifie.</w:t>
      </w:r>
    </w:p>
    <w:p>
      <w:pPr/>
      <w:r>
        <w:t xml:space="preserve">Un client ne peut donc ni s'activer un module, ni augmenter un quota, ni prolonger son abonnement sans NetByUs, même sur son propre serveur. Sans lien avec la console, une instance fonctionne jusqu'à la fin de sa licence.</w:t>
      </w:r>
    </w:p>
    <w:p>
      <w:pPr>
        <w:pStyle w:val="Heading3"/>
      </w:pPr>
      <w:r>
        <w:t xml:space="preserve">7.3 Le cycle de vie d'un client</w:t>
      </w:r>
    </w:p>
    <w:tbl>
      <w:tblPr>
        <w:tblStyle w:val="TableGrid"/>
        <w:tblW w:w="0" w:type="auto"/>
        <w:tblLayout w:type="fixed"/>
        <w:tblLook w:val="04A0" w:firstRow="1" w:lastRow="0" w:firstColumn="0" w:lastColumn="0" w:noHBand="0" w:noVBand="1"/>
      </w:tblPr>
      <w:tblGrid>
        <w:gridCol w:w="1661"/>
        <w:gridCol w:w="3553"/>
        <w:gridCol w:w="4146"/>
      </w:tblGrid>
      <w:tr>
        <w:trPr>
          <w:tblHeader/>
        </w:trPr>
        <w:tc>
          <w:tcPr>
            <w:tcW w:w="1661" w:type="dxa"/>
            <w:shd w:val="clear" w:color="auto" w:fill="F2F2F2"/>
          </w:tcPr>
          <w:p>
            <w:pPr/>
            <w:r>
              <w:t xml:space="preserve">État</w:t>
            </w:r>
          </w:p>
        </w:tc>
        <w:tc>
          <w:tcPr>
            <w:tcW w:w="3553" w:type="dxa"/>
            <w:shd w:val="clear" w:color="auto" w:fill="F2F2F2"/>
          </w:tcPr>
          <w:p>
            <w:pPr/>
            <w:r>
              <w:t xml:space="preserve">Ce que voit le client</w:t>
            </w:r>
          </w:p>
        </w:tc>
        <w:tc>
          <w:tcPr>
            <w:tcW w:w="4146" w:type="dxa"/>
            <w:shd w:val="clear" w:color="auto" w:fill="F2F2F2"/>
          </w:tcPr>
          <w:p>
            <w:pPr/>
            <w:r>
              <w:t xml:space="preserve">Comment on en sort</w:t>
            </w:r>
          </w:p>
        </w:tc>
      </w:tr>
      <w:tr>
        <w:tc>
          <w:tcPr>
            <w:tcW w:w="1661" w:type="dxa"/>
          </w:tcPr>
          <w:p>
            <w:pPr/>
            <w:r>
              <w:t xml:space="preserve">Essai</w:t>
            </w:r>
          </w:p>
        </w:tc>
        <w:tc>
          <w:tcPr>
            <w:tcW w:w="3553" w:type="dxa"/>
          </w:tcPr>
          <w:p>
            <w:pPr/>
            <w:r>
              <w:t xml:space="preserve">Accès complet</w:t>
            </w:r>
          </w:p>
        </w:tc>
        <w:tc>
          <w:tcPr>
            <w:tcW w:w="4146" w:type="dxa"/>
          </w:tcPr>
          <w:p>
            <w:pPr/>
            <w:r>
              <w:t xml:space="preserve">Paiement : actif. Fin d'essai sans paiement : lecture seule</w:t>
            </w:r>
          </w:p>
        </w:tc>
      </w:tr>
      <w:tr>
        <w:tc>
          <w:tcPr>
            <w:tcW w:w="1661" w:type="dxa"/>
          </w:tcPr>
          <w:p>
            <w:pPr/>
            <w:r>
              <w:t xml:space="preserve">Actif</w:t>
            </w:r>
          </w:p>
        </w:tc>
        <w:tc>
          <w:tcPr>
            <w:tcW w:w="3553" w:type="dxa"/>
          </w:tcPr>
          <w:p>
            <w:pPr/>
            <w:r>
              <w:t xml:space="preserve">Accès complet</w:t>
            </w:r>
          </w:p>
        </w:tc>
        <w:tc>
          <w:tcPr>
            <w:tcW w:w="4146" w:type="dxa"/>
          </w:tcPr>
          <w:p>
            <w:pPr/>
            <w:r>
              <w:t xml:space="preserve">Fin de licence sans renouvellement : en grâce</w:t>
            </w:r>
          </w:p>
        </w:tc>
      </w:tr>
      <w:tr>
        <w:tc>
          <w:tcPr>
            <w:tcW w:w="1661" w:type="dxa"/>
          </w:tcPr>
          <w:p>
            <w:pPr/>
            <w:r>
              <w:t xml:space="preserve">En grâce</w:t>
            </w:r>
          </w:p>
        </w:tc>
        <w:tc>
          <w:tcPr>
            <w:tcW w:w="3553" w:type="dxa"/>
          </w:tcPr>
          <w:p>
            <w:pPr/>
            <w:r>
              <w:t xml:space="preserve">Accès complet, bandeau « renouvelez »</w:t>
            </w:r>
          </w:p>
        </w:tc>
        <w:tc>
          <w:tcPr>
            <w:tcW w:w="4146" w:type="dxa"/>
          </w:tcPr>
          <w:p>
            <w:pPr/>
            <w:r>
              <w:t xml:space="preserve">Paiement : actif. Fin de la grâce : lecture seule</w:t>
            </w:r>
          </w:p>
        </w:tc>
      </w:tr>
      <w:tr>
        <w:tc>
          <w:tcPr>
            <w:tcW w:w="1661" w:type="dxa"/>
          </w:tcPr>
          <w:p>
            <w:pPr/>
            <w:r>
              <w:t xml:space="preserve">Lecture seule</w:t>
            </w:r>
          </w:p>
        </w:tc>
        <w:tc>
          <w:tcPr>
            <w:tcW w:w="3553" w:type="dxa"/>
          </w:tcPr>
          <w:p>
            <w:pPr/>
            <w:r>
              <w:t xml:space="preserve">Il consulte et exporte, sans rien créer ni modifier</w:t>
            </w:r>
          </w:p>
        </w:tc>
        <w:tc>
          <w:tcPr>
            <w:tcW w:w="4146" w:type="dxa"/>
          </w:tcPr>
          <w:p>
            <w:pPr/>
            <w:r>
              <w:t xml:space="preserve">Paiement : actif. Fin de la conservation : archivé</w:t>
            </w:r>
          </w:p>
        </w:tc>
      </w:tr>
      <w:tr>
        <w:tc>
          <w:tcPr>
            <w:tcW w:w="1661" w:type="dxa"/>
          </w:tcPr>
          <w:p>
            <w:pPr/>
            <w:r>
              <w:t xml:space="preserve">Archivé</w:t>
            </w:r>
          </w:p>
        </w:tc>
        <w:tc>
          <w:tcPr>
            <w:tcW w:w="3553" w:type="dxa"/>
          </w:tcPr>
          <w:p>
            <w:pPr/>
            <w:r>
              <w:t xml:space="preserve">Base sauvegardée puis supprimée, après avertissements</w:t>
            </w:r>
          </w:p>
        </w:tc>
        <w:tc>
          <w:tcPr>
            <w:tcW w:w="4146" w:type="dxa"/>
          </w:tcPr>
          <w:p>
            <w:pPr/>
            <w:r>
              <w:t xml:space="preserve">État final</w:t>
            </w:r>
          </w:p>
        </w:tc>
      </w:tr>
    </w:tbl>
    <w:p>
      <w:pPr/>
      <w:r>
        <w:t xml:space="preserve">Les durées de grâce, de lecture seule, des rappels et de l'essai sont des réglages de la console.</w:t>
      </w:r>
    </w:p>
    <w:p>
      <w:pPr>
        <w:pStyle w:val="Heading3"/>
      </w:pPr>
      <w:r>
        <w:t xml:space="preserve">7.4 Comment un client arrive</w:t>
      </w:r>
    </w:p>
    <w:tbl>
      <w:tblPr>
        <w:tblStyle w:val="TableGrid"/>
        <w:tblW w:w="0" w:type="auto"/>
        <w:tblLayout w:type="fixed"/>
        <w:tblLook w:val="04A0" w:firstRow="1" w:lastRow="0" w:firstColumn="0" w:lastColumn="0" w:noHBand="0" w:noVBand="1"/>
      </w:tblPr>
      <w:tblGrid>
        <w:gridCol w:w="3180"/>
        <w:gridCol w:w="6179"/>
      </w:tblGrid>
      <w:tr>
        <w:trPr>
          <w:tblHeader/>
        </w:trPr>
        <w:tc>
          <w:tcPr>
            <w:tcW w:w="3180" w:type="dxa"/>
            <w:shd w:val="clear" w:color="auto" w:fill="F2F2F2"/>
          </w:tcPr>
          <w:p>
            <w:pPr/>
            <w:r>
              <w:t xml:space="preserve">Voie</w:t>
            </w:r>
          </w:p>
        </w:tc>
        <w:tc>
          <w:tcPr>
            <w:tcW w:w="6179" w:type="dxa"/>
            <w:shd w:val="clear" w:color="auto" w:fill="F2F2F2"/>
          </w:tcPr>
          <w:p>
            <w:pPr/>
            <w:r>
              <w:t xml:space="preserve">Ce qui se passe</w:t>
            </w:r>
          </w:p>
        </w:tc>
      </w:tr>
      <w:tr>
        <w:tc>
          <w:tcPr>
            <w:tcW w:w="3180" w:type="dxa"/>
          </w:tcPr>
          <w:p>
            <w:pPr/>
            <w:r>
              <w:t xml:space="preserve">Demande de démo</w:t>
            </w:r>
          </w:p>
        </w:tc>
        <w:tc>
          <w:tcPr>
            <w:tcW w:w="6179" w:type="dxa"/>
          </w:tcPr>
          <w:p>
            <w:pPr/>
            <w:r>
              <w:t xml:space="preserve">Formulaire du site, suivi dans la console ; l'équipe peut ouvrir un essai de 1 à 90 jours</w:t>
            </w:r>
          </w:p>
        </w:tc>
      </w:tr>
      <w:tr>
        <w:tc>
          <w:tcPr>
            <w:tcW w:w="3180" w:type="dxa"/>
          </w:tcPr>
          <w:p>
            <w:pPr/>
            <w:r>
              <w:t xml:space="preserve">Essai en libre-service</w:t>
            </w:r>
          </w:p>
        </w:tc>
        <w:tc>
          <w:tcPr>
            <w:tcW w:w="6179" w:type="dxa"/>
          </w:tcPr>
          <w:p>
            <w:pPr/>
            <w:r>
              <w:t xml:space="preserve">Offre, société, code reçu par e-mail, puis déploiement ; ouvert ou fermé par un réglage de la console</w:t>
            </w:r>
          </w:p>
        </w:tc>
      </w:tr>
      <w:tr>
        <w:tc>
          <w:tcPr>
            <w:tcW w:w="3180" w:type="dxa"/>
          </w:tcPr>
          <w:p>
            <w:pPr/>
            <w:r>
              <w:t xml:space="preserve">Souscription en ligne</w:t>
            </w:r>
          </w:p>
        </w:tc>
        <w:tc>
          <w:tcPr>
            <w:tcW w:w="6179" w:type="dxa"/>
          </w:tcPr>
          <w:p>
            <w:pPr/>
            <w:r>
              <w:t xml:space="preserve">Offre et durée, paiement par KkiaPay ou FedaPay ; fermée par défaut</w:t>
            </w:r>
          </w:p>
        </w:tc>
      </w:tr>
      <w:tr>
        <w:tc>
          <w:tcPr>
            <w:tcW w:w="3180" w:type="dxa"/>
          </w:tcPr>
          <w:p>
            <w:pPr/>
            <w:r>
              <w:t xml:space="preserve">Par un agent</w:t>
            </w:r>
          </w:p>
        </w:tc>
        <w:tc>
          <w:tcPr>
            <w:tcW w:w="6179" w:type="dxa"/>
          </w:tcPr>
          <w:p>
            <w:pPr/>
            <w:r>
              <w:t xml:space="preserve">Création du client, commande ou licence composée directement dans la console</w:t>
            </w:r>
          </w:p>
        </w:tc>
      </w:tr>
      <w:tr>
        <w:tc>
          <w:tcPr>
            <w:tcW w:w="3180" w:type="dxa"/>
          </w:tcPr>
          <w:p>
            <w:pPr/>
            <w:r>
              <w:t xml:space="preserve">Par un partenaire</w:t>
            </w:r>
          </w:p>
        </w:tc>
        <w:tc>
          <w:tcPr>
            <w:tcW w:w="6179" w:type="dxa"/>
          </w:tcPr>
          <w:p>
            <w:pPr/>
            <w:r>
              <w:t xml:space="preserve">Les ambassadeurs et partenaires de la plateforme influencer émettent des licences pour leurs clients</w:t>
            </w:r>
          </w:p>
        </w:tc>
      </w:tr>
    </w:tbl>
    <w:p>
      <w:pPr>
        <w:pStyle w:val="Heading3"/>
      </w:pPr>
      <w:r>
        <w:t xml:space="preserve">7.5 Où tourne BY+</w:t>
      </w:r>
    </w:p>
    <w:tbl>
      <w:tblPr>
        <w:tblStyle w:val="TableGrid"/>
        <w:tblW w:w="0" w:type="auto"/>
        <w:tblLayout w:type="fixed"/>
        <w:tblLook w:val="04A0" w:firstRow="1" w:lastRow="0" w:firstColumn="0" w:lastColumn="0" w:noHBand="0" w:noVBand="1"/>
      </w:tblPr>
      <w:tblGrid>
        <w:gridCol w:w="2389"/>
        <w:gridCol w:w="6970"/>
      </w:tblGrid>
      <w:tr>
        <w:trPr>
          <w:tblHeader/>
        </w:trPr>
        <w:tc>
          <w:tcPr>
            <w:tcW w:w="2389" w:type="dxa"/>
            <w:shd w:val="clear" w:color="auto" w:fill="F2F2F2"/>
          </w:tcPr>
          <w:p>
            <w:pPr/>
            <w:r>
              <w:t xml:space="preserve">Instance</w:t>
            </w:r>
          </w:p>
        </w:tc>
        <w:tc>
          <w:tcPr>
            <w:tcW w:w="6970" w:type="dxa"/>
            <w:shd w:val="clear" w:color="auto" w:fill="F2F2F2"/>
          </w:tcPr>
          <w:p>
            <w:pPr/>
            <w:r>
              <w:t xml:space="preserve">Ce qu'elle héberge</w:t>
            </w:r>
          </w:p>
        </w:tc>
      </w:tr>
      <w:tr>
        <w:tc>
          <w:tcPr>
            <w:tcW w:w="2389" w:type="dxa"/>
          </w:tcPr>
          <w:p>
            <w:pPr/>
            <w:r>
              <w:t xml:space="preserve">NetByUs</w:t>
            </w:r>
          </w:p>
        </w:tc>
        <w:tc>
          <w:tcPr>
            <w:tcW w:w="6970" w:type="dxa"/>
          </w:tcPr>
          <w:p>
            <w:pPr/>
            <w:r>
              <w:t xml:space="preserve">La console et le client netbyus. Seule instance qui contient le code de la console</w:t>
            </w:r>
          </w:p>
        </w:tc>
      </w:tr>
      <w:tr>
        <w:tc>
          <w:tcPr>
            <w:tcW w:w="2389" w:type="dxa"/>
          </w:tcPr>
          <w:p>
            <w:pPr/>
            <w:r>
              <w:t xml:space="preserve">SaaS</w:t>
            </w:r>
          </w:p>
        </w:tc>
        <w:tc>
          <w:tcPr>
            <w:tcW w:w="6970" w:type="dxa"/>
          </w:tcPr>
          <w:p>
            <w:pPr/>
            <w:r>
              <w:t xml:space="preserve">Tous les clients en SaaS, une base chacun. Jamais de console</w:t>
            </w:r>
          </w:p>
        </w:tc>
      </w:tr>
      <w:tr>
        <w:tc>
          <w:tcPr>
            <w:tcW w:w="2389" w:type="dxa"/>
          </w:tcPr>
          <w:p>
            <w:pPr/>
            <w:r>
              <w:t xml:space="preserve">Serveur dédié</w:t>
            </w:r>
          </w:p>
        </w:tc>
        <w:tc>
          <w:tcPr>
            <w:tcW w:w="6970" w:type="dxa"/>
          </w:tcPr>
          <w:p>
            <w:pPr/>
            <w:r>
              <w:t xml:space="preserve">Un seul client, à son propre domaine, installé et mis à jour par NetByUs ou par le client</w:t>
            </w:r>
          </w:p>
        </w:tc>
      </w:tr>
    </w:tbl>
    <w:p>
      <w:pPr>
        <w:pStyle w:val="Heading3"/>
      </w:pPr>
      <w:r>
        <w:t xml:space="preserve">7.6 Quatre scénarios</w:t>
      </w:r>
    </w:p>
    <w:p>
      <w:pPr/>
      <w:r>
        <w:t xml:space="preserve">Ces parcours utilisent les modules du catalogue. À chaque étape, les données déjà saisies sont conservées et un module déjà présent n'est jamais dupliqué.</w:t>
      </w:r>
    </w:p>
    <w:tbl>
      <w:tblPr>
        <w:tblStyle w:val="TableGrid"/>
        <w:tblW w:w="0" w:type="auto"/>
        <w:tblLayout w:type="fixed"/>
        <w:tblLook w:val="04A0" w:firstRow="1" w:lastRow="0" w:firstColumn="0" w:lastColumn="0" w:noHBand="0" w:noVBand="1"/>
      </w:tblPr>
      <w:tblGrid>
        <w:gridCol w:w="2210"/>
        <w:gridCol w:w="2192"/>
        <w:gridCol w:w="4957"/>
      </w:tblGrid>
      <w:tr>
        <w:trPr>
          <w:tblHeader/>
        </w:trPr>
        <w:tc>
          <w:tcPr>
            <w:tcW w:w="2210" w:type="dxa"/>
            <w:shd w:val="clear" w:color="auto" w:fill="F2F2F2"/>
          </w:tcPr>
          <w:p>
            <w:pPr/>
            <w:r>
              <w:t xml:space="preserve">Profil</w:t>
            </w:r>
          </w:p>
        </w:tc>
        <w:tc>
          <w:tcPr>
            <w:tcW w:w="2192" w:type="dxa"/>
            <w:shd w:val="clear" w:color="auto" w:fill="F2F2F2"/>
          </w:tcPr>
          <w:p>
            <w:pPr/>
            <w:r>
              <w:t xml:space="preserve">Étape</w:t>
            </w:r>
          </w:p>
        </w:tc>
        <w:tc>
          <w:tcPr>
            <w:tcW w:w="4957" w:type="dxa"/>
            <w:shd w:val="clear" w:color="auto" w:fill="F2F2F2"/>
          </w:tcPr>
          <w:p>
            <w:pPr/>
            <w:r>
              <w:t xml:space="preserve">Modules ajoutés</w:t>
            </w:r>
          </w:p>
        </w:tc>
      </w:tr>
      <w:tr>
        <w:tc>
          <w:tcPr>
            <w:tcW w:w="2210" w:type="dxa"/>
          </w:tcPr>
          <w:p>
            <w:pPr/>
            <w:r>
              <w:t xml:space="preserve">Boutique</w:t>
            </w:r>
          </w:p>
        </w:tc>
        <w:tc>
          <w:tcPr>
            <w:tcW w:w="2192" w:type="dxa"/>
          </w:tcPr>
          <w:p>
            <w:pPr/>
            <w:r>
              <w:t xml:space="preserve">1. Départ</w:t>
            </w:r>
          </w:p>
        </w:tc>
        <w:tc>
          <w:tcPr>
            <w:tcW w:w="4957" w:type="dxa"/>
          </w:tcPr>
          <w:p>
            <w:pPr/>
            <w:r>
              <w:t xml:space="preserve">POS (active Catalogue et Moyens de paiement)</w:t>
            </w:r>
          </w:p>
        </w:tc>
      </w:tr>
      <w:tr>
        <w:tc>
          <w:tcPr>
            <w:tcW w:w="2210" w:type="dxa"/>
          </w:tcPr>
          <w:p>
            <w:pPr/>
            <w:r>
              <w:t xml:space="preserve">Boutique</w:t>
            </w:r>
          </w:p>
        </w:tc>
        <w:tc>
          <w:tcPr>
            <w:tcW w:w="2192" w:type="dxa"/>
          </w:tcPr>
          <w:p>
            <w:pPr/>
            <w:r>
              <w:t xml:space="preserve">2. Clients</w:t>
            </w:r>
          </w:p>
        </w:tc>
        <w:tc>
          <w:tcPr>
            <w:tcW w:w="4957" w:type="dxa"/>
          </w:tcPr>
          <w:p>
            <w:pPr/>
            <w:r>
              <w:t xml:space="preserve">Contacts (pont pos-contacts : le client se choisit en caisse)</w:t>
            </w:r>
          </w:p>
        </w:tc>
      </w:tr>
      <w:tr>
        <w:tc>
          <w:tcPr>
            <w:tcW w:w="2210" w:type="dxa"/>
          </w:tcPr>
          <w:p>
            <w:pPr/>
            <w:r>
              <w:t xml:space="preserve">Boutique</w:t>
            </w:r>
          </w:p>
        </w:tc>
        <w:tc>
          <w:tcPr>
            <w:tcW w:w="2192" w:type="dxa"/>
          </w:tcPr>
          <w:p>
            <w:pPr/>
            <w:r>
              <w:t xml:space="preserve">3. Stock</w:t>
            </w:r>
          </w:p>
        </w:tc>
        <w:tc>
          <w:tcPr>
            <w:tcW w:w="4957" w:type="dxa"/>
          </w:tcPr>
          <w:p>
            <w:pPr/>
            <w:r>
              <w:t xml:space="preserve">Entrepôt (pont pos-entrepot : un entrepôt livre la boutique)</w:t>
            </w:r>
          </w:p>
        </w:tc>
      </w:tr>
      <w:tr>
        <w:tc>
          <w:tcPr>
            <w:tcW w:w="2210" w:type="dxa"/>
          </w:tcPr>
          <w:p>
            <w:pPr/>
            <w:r>
              <w:t xml:space="preserve">Boutique</w:t>
            </w:r>
          </w:p>
        </w:tc>
        <w:tc>
          <w:tcPr>
            <w:tcW w:w="2192" w:type="dxa"/>
          </w:tcPr>
          <w:p>
            <w:pPr/>
            <w:r>
              <w:t xml:space="preserve">4. Fiscalité</w:t>
            </w:r>
          </w:p>
        </w:tc>
        <w:tc>
          <w:tcPr>
            <w:tcW w:w="4957" w:type="dxa"/>
          </w:tcPr>
          <w:p>
            <w:pPr/>
            <w:r>
              <w:t xml:space="preserve">Normalisation (au Bénin, pont pos-normalization : certification DGI)</w:t>
            </w:r>
          </w:p>
        </w:tc>
      </w:tr>
      <w:tr>
        <w:tc>
          <w:tcPr>
            <w:tcW w:w="2210" w:type="dxa"/>
          </w:tcPr>
          <w:p>
            <w:pPr/>
            <w:r>
              <w:t xml:space="preserve">Boutique</w:t>
            </w:r>
          </w:p>
        </w:tc>
        <w:tc>
          <w:tcPr>
            <w:tcW w:w="2192" w:type="dxa"/>
          </w:tcPr>
          <w:p>
            <w:pPr/>
            <w:r>
              <w:t xml:space="preserve">5. Fidélité</w:t>
            </w:r>
          </w:p>
        </w:tc>
        <w:tc>
          <w:tcPr>
            <w:tcW w:w="4957" w:type="dxa"/>
          </w:tcPr>
          <w:p>
            <w:pPr/>
            <w:r>
              <w:t xml:space="preserve">Fidélité et Facturation (ponts pos-fidelite, pos-facturation)</w:t>
            </w:r>
          </w:p>
        </w:tc>
      </w:tr>
      <w:tr>
        <w:tc>
          <w:tcPr>
            <w:tcW w:w="2210" w:type="dxa"/>
          </w:tcPr>
          <w:p>
            <w:pPr/>
            <w:r>
              <w:t xml:space="preserve">Restaurant</w:t>
            </w:r>
          </w:p>
        </w:tc>
        <w:tc>
          <w:tcPr>
            <w:tcW w:w="2192" w:type="dxa"/>
          </w:tcPr>
          <w:p>
            <w:pPr/>
            <w:r>
              <w:t xml:space="preserve">1. Départ</w:t>
            </w:r>
          </w:p>
        </w:tc>
        <w:tc>
          <w:tcPr>
            <w:tcW w:w="4957" w:type="dxa"/>
          </w:tcPr>
          <w:p>
            <w:pPr/>
            <w:r>
              <w:t xml:space="preserve">POS</w:t>
            </w:r>
          </w:p>
        </w:tc>
      </w:tr>
      <w:tr>
        <w:tc>
          <w:tcPr>
            <w:tcW w:w="2210" w:type="dxa"/>
          </w:tcPr>
          <w:p>
            <w:pPr/>
            <w:r>
              <w:t xml:space="preserve">Restaurant</w:t>
            </w:r>
          </w:p>
        </w:tc>
        <w:tc>
          <w:tcPr>
            <w:tcW w:w="2192" w:type="dxa"/>
          </w:tcPr>
          <w:p>
            <w:pPr/>
            <w:r>
              <w:t xml:space="preserve">2. Salle et cuisine</w:t>
            </w:r>
          </w:p>
        </w:tc>
        <w:tc>
          <w:tcPr>
            <w:tcW w:w="4957" w:type="dxa"/>
          </w:tcPr>
          <w:p>
            <w:pPr/>
            <w:r>
              <w:t xml:space="preserve">Tables, cuisine, recettes, réservations (à définir)</w:t>
            </w:r>
          </w:p>
        </w:tc>
      </w:tr>
      <w:tr>
        <w:tc>
          <w:tcPr>
            <w:tcW w:w="2210" w:type="dxa"/>
          </w:tcPr>
          <w:p>
            <w:pPr/>
            <w:r>
              <w:t xml:space="preserve">PME RH</w:t>
            </w:r>
          </w:p>
        </w:tc>
        <w:tc>
          <w:tcPr>
            <w:tcW w:w="2192" w:type="dxa"/>
          </w:tcPr>
          <w:p>
            <w:pPr/>
            <w:r>
              <w:t xml:space="preserve">1. Essentiel</w:t>
            </w:r>
          </w:p>
        </w:tc>
        <w:tc>
          <w:tcPr>
            <w:tcW w:w="4957" w:type="dxa"/>
          </w:tcPr>
          <w:p>
            <w:pPr/>
            <w:r>
              <w:t xml:space="preserve">Collaborateurs, Congés</w:t>
            </w:r>
          </w:p>
        </w:tc>
      </w:tr>
      <w:tr>
        <w:tc>
          <w:tcPr>
            <w:tcW w:w="2210" w:type="dxa"/>
          </w:tcPr>
          <w:p>
            <w:pPr/>
            <w:r>
              <w:t xml:space="preserve">PME RH</w:t>
            </w:r>
          </w:p>
        </w:tc>
        <w:tc>
          <w:tcPr>
            <w:tcW w:w="2192" w:type="dxa"/>
          </w:tcPr>
          <w:p>
            <w:pPr/>
            <w:r>
              <w:t xml:space="preserve">2. Complet</w:t>
            </w:r>
          </w:p>
        </w:tc>
        <w:tc>
          <w:tcPr>
            <w:tcW w:w="4957" w:type="dxa"/>
          </w:tcPr>
          <w:p>
            <w:pPr/>
            <w:r>
              <w:t xml:space="preserve">Paie, Évaluations, Présence (ponts paie-conges, conges-presence)</w:t>
            </w:r>
          </w:p>
        </w:tc>
      </w:tr>
      <w:tr>
        <w:tc>
          <w:tcPr>
            <w:tcW w:w="2210" w:type="dxa"/>
          </w:tcPr>
          <w:p>
            <w:pPr/>
            <w:r>
              <w:t xml:space="preserve">PME commerciale</w:t>
            </w:r>
          </w:p>
        </w:tc>
        <w:tc>
          <w:tcPr>
            <w:tcW w:w="2192" w:type="dxa"/>
          </w:tcPr>
          <w:p>
            <w:pPr/>
            <w:r>
              <w:t xml:space="preserve">1. Départ</w:t>
            </w:r>
          </w:p>
        </w:tc>
        <w:tc>
          <w:tcPr>
            <w:tcW w:w="4957" w:type="dxa"/>
          </w:tcPr>
          <w:p>
            <w:pPr/>
            <w:r>
              <w:t xml:space="preserve">Pipeline, Rendez-vous, Facturation (active Contacts et Catalogue)</w:t>
            </w:r>
          </w:p>
        </w:tc>
      </w:tr>
      <w:tr>
        <w:tc>
          <w:tcPr>
            <w:tcW w:w="2210" w:type="dxa"/>
          </w:tcPr>
          <w:p>
            <w:pPr/>
            <w:r>
              <w:t xml:space="preserve">PME commerciale</w:t>
            </w:r>
          </w:p>
        </w:tc>
        <w:tc>
          <w:tcPr>
            <w:tcW w:w="2192" w:type="dxa"/>
          </w:tcPr>
          <w:p>
            <w:pPr/>
            <w:r>
              <w:t xml:space="preserve">2. Relation</w:t>
            </w:r>
          </w:p>
        </w:tc>
        <w:tc>
          <w:tcPr>
            <w:tcW w:w="4957" w:type="dxa"/>
          </w:tcPr>
          <w:p>
            <w:pPr/>
            <w:r>
              <w:t xml:space="preserve">NPS, Portail client (ponts pipeline-rdv, rdv-nps, portail-facturation)</w:t>
            </w:r>
          </w:p>
        </w:tc>
      </w:tr>
    </w:tbl>
    <w:p>
      <w:pPr>
        <w:pStyle w:val="Heading2"/>
      </w:pPr>
      <w:r>
        <w:t xml:space="preserve">8. Le socle</w:t>
      </w:r>
    </w:p>
    <w:p>
      <w:pPr/>
      <w:r>
        <w:t xml:space="preserve">Le socle est ce qui rend la suite cohérente : il est construit une fois et utilisé par tous les modules. Si une fonction est utile à presque tous les modules sans être un métier, elle appartient au socle.</w:t>
      </w:r>
    </w:p>
    <w:tbl>
      <w:tblPr>
        <w:tblStyle w:val="TableGrid"/>
        <w:tblW w:w="0" w:type="auto"/>
        <w:tblLayout w:type="fixed"/>
        <w:tblLook w:val="04A0" w:firstRow="1" w:lastRow="0" w:firstColumn="0" w:lastColumn="0" w:noHBand="0" w:noVBand="1"/>
      </w:tblPr>
      <w:tblGrid>
        <w:gridCol w:w="3904"/>
        <w:gridCol w:w="5455"/>
      </w:tblGrid>
      <w:tr>
        <w:trPr>
          <w:tblHeader/>
        </w:trPr>
        <w:tc>
          <w:tcPr>
            <w:tcW w:w="3904" w:type="dxa"/>
            <w:shd w:val="clear" w:color="auto" w:fill="F2F2F2"/>
          </w:tcPr>
          <w:p>
            <w:pPr/>
            <w:r>
              <w:t xml:space="preserve">Brique</w:t>
            </w:r>
          </w:p>
        </w:tc>
        <w:tc>
          <w:tcPr>
            <w:tcW w:w="5455" w:type="dxa"/>
            <w:shd w:val="clear" w:color="auto" w:fill="F2F2F2"/>
          </w:tcPr>
          <w:p>
            <w:pPr/>
            <w:r>
              <w:t xml:space="preserve">Ce qu'elle offre</w:t>
            </w:r>
          </w:p>
        </w:tc>
      </w:tr>
      <w:tr>
        <w:tc>
          <w:tcPr>
            <w:tcW w:w="3904" w:type="dxa"/>
          </w:tcPr>
          <w:p>
            <w:pPr/>
            <w:r>
              <w:t xml:space="preserve">Clients (Tenancy)</w:t>
            </w:r>
          </w:p>
        </w:tc>
        <w:tc>
          <w:tcPr>
            <w:tcW w:w="5455" w:type="dxa"/>
          </w:tcPr>
          <w:p>
            <w:pPr/>
            <w:r>
              <w:t xml:space="preserve">Reconnaît le client à son sous-domaine et ouvre sa base</w:t>
            </w:r>
          </w:p>
        </w:tc>
      </w:tr>
      <w:tr>
        <w:tc>
          <w:tcPr>
            <w:tcW w:w="3904" w:type="dxa"/>
          </w:tcPr>
          <w:p>
            <w:pPr/>
            <w:r>
              <w:t xml:space="preserve">Registre des modules</w:t>
            </w:r>
          </w:p>
        </w:tc>
        <w:tc>
          <w:tcPr>
            <w:tcW w:w="5455" w:type="dxa"/>
          </w:tcPr>
          <w:p>
            <w:pPr/>
            <w:r>
              <w:t xml:space="preserve">Les modules actifs du client, déduits de sa licence ; refuse partout un module absent</w:t>
            </w:r>
          </w:p>
        </w:tc>
      </w:tr>
      <w:tr>
        <w:tc>
          <w:tcPr>
            <w:tcW w:w="3904" w:type="dxa"/>
          </w:tcPr>
          <w:p>
            <w:pPr/>
            <w:r>
              <w:t xml:space="preserve">Sociétés</w:t>
            </w:r>
          </w:p>
        </w:tc>
        <w:tc>
          <w:tcPr>
            <w:tcW w:w="5455" w:type="dxa"/>
          </w:tcPr>
          <w:p>
            <w:pPr/>
            <w:r>
              <w:t xml:space="preserve">Sociétés et bureaux du client, société courante choisie en en-tête</w:t>
            </w:r>
          </w:p>
        </w:tc>
      </w:tr>
      <w:tr>
        <w:tc>
          <w:tcPr>
            <w:tcW w:w="3904" w:type="dxa"/>
          </w:tcPr>
          <w:p>
            <w:pPr/>
            <w:r>
              <w:t xml:space="preserve">Listes de référence</w:t>
            </w:r>
          </w:p>
        </w:tc>
        <w:tc>
          <w:tcPr>
            <w:tcW w:w="5455" w:type="dxa"/>
          </w:tcPr>
          <w:p>
            <w:pPr/>
            <w:r>
              <w:t xml:space="preserve">Pays, devises, fuseaux horaires, unités</w:t>
            </w:r>
          </w:p>
        </w:tc>
      </w:tr>
      <w:tr>
        <w:tc>
          <w:tcPr>
            <w:tcW w:w="3904" w:type="dxa"/>
          </w:tcPr>
          <w:p>
            <w:pPr/>
            <w:r>
              <w:t xml:space="preserve">Fichiers</w:t>
            </w:r>
          </w:p>
        </w:tc>
        <w:tc>
          <w:tcPr>
            <w:tcW w:w="5455" w:type="dxa"/>
          </w:tcPr>
          <w:p>
            <w:pPr/>
            <w:r>
              <w:t xml:space="preserve">Stockage des pièces jointes, limité par le quota de la licence</w:t>
            </w:r>
          </w:p>
        </w:tc>
      </w:tr>
      <w:tr>
        <w:tc>
          <w:tcPr>
            <w:tcW w:w="3904" w:type="dxa"/>
          </w:tcPr>
          <w:p>
            <w:pPr/>
            <w:r>
              <w:t xml:space="preserve">Journal</w:t>
            </w:r>
          </w:p>
        </w:tc>
        <w:tc>
          <w:tcPr>
            <w:tcW w:w="5455" w:type="dxa"/>
          </w:tcPr>
          <w:p>
            <w:pPr/>
            <w:r>
              <w:t xml:space="preserve">Qui a fait quoi, quand, sur quoi, depuis quelle adresse</w:t>
            </w:r>
          </w:p>
        </w:tc>
      </w:tr>
      <w:tr>
        <w:tc>
          <w:tcPr>
            <w:tcW w:w="3904" w:type="dxa"/>
          </w:tcPr>
          <w:p>
            <w:pPr/>
            <w:r>
              <w:t xml:space="preserve">Notifications</w:t>
            </w:r>
          </w:p>
        </w:tc>
        <w:tc>
          <w:tcPr>
            <w:tcW w:w="5455" w:type="dxa"/>
          </w:tcPr>
          <w:p>
            <w:pPr/>
            <w:r>
              <w:t xml:space="preserve">Dans l'application, par mail, push et WhatsApp, toujours en arrière-plan</w:t>
            </w:r>
          </w:p>
        </w:tc>
      </w:tr>
      <w:tr>
        <w:tc>
          <w:tcPr>
            <w:tcW w:w="3904" w:type="dxa"/>
          </w:tcPr>
          <w:p>
            <w:pPr/>
            <w:r>
              <w:t xml:space="preserve">Utilisateurs et droits</w:t>
            </w:r>
          </w:p>
        </w:tc>
        <w:tc>
          <w:tcPr>
            <w:tcW w:w="5455" w:type="dxa"/>
          </w:tcPr>
          <w:p>
            <w:pPr/>
            <w:r>
              <w:t xml:space="preserve">Comptes, rôles, connexion par e-mail, téléphone ou annuaire LDAP, double authentification</w:t>
            </w:r>
          </w:p>
        </w:tc>
      </w:tr>
      <w:tr>
        <w:tc>
          <w:tcPr>
            <w:tcW w:w="3904" w:type="dxa"/>
          </w:tcPr>
          <w:p>
            <w:pPr/>
            <w:r>
              <w:t xml:space="preserve">Tableau de bord</w:t>
            </w:r>
          </w:p>
        </w:tc>
        <w:tc>
          <w:tcPr>
            <w:tcW w:w="5455" w:type="dxa"/>
          </w:tcPr>
          <w:p>
            <w:pPr/>
            <w:r>
              <w:t xml:space="preserve">L'accueil de chaque utilisateur, avec les widgets de ses modules</w:t>
            </w:r>
          </w:p>
        </w:tc>
      </w:tr>
      <w:tr>
        <w:tc>
          <w:tcPr>
            <w:tcW w:w="3904" w:type="dxa"/>
          </w:tcPr>
          <w:p>
            <w:pPr/>
            <w:r>
              <w:t xml:space="preserve">Modèles de documents</w:t>
            </w:r>
          </w:p>
        </w:tc>
        <w:tc>
          <w:tcPr>
            <w:tcW w:w="5455" w:type="dxa"/>
          </w:tcPr>
          <w:p>
            <w:pPr/>
            <w:r>
              <w:t xml:space="preserve">Chaque société met ses mails et ses imprimables à son image</w:t>
            </w:r>
          </w:p>
        </w:tc>
      </w:tr>
      <w:tr>
        <w:tc>
          <w:tcPr>
            <w:tcW w:w="3904" w:type="dxa"/>
          </w:tcPr>
          <w:p>
            <w:pPr/>
            <w:r>
              <w:t xml:space="preserve">Mon abonnement</w:t>
            </w:r>
          </w:p>
        </w:tc>
        <w:tc>
          <w:tcPr>
            <w:tcW w:w="5455" w:type="dxa"/>
          </w:tcPr>
          <w:p>
            <w:pPr/>
            <w:r>
              <w:t xml:space="preserve">L'abonnement du client, ses compléments, ses factures et ses clés de licence</w:t>
            </w:r>
          </w:p>
        </w:tc>
      </w:tr>
      <w:tr>
        <w:tc>
          <w:tcPr>
            <w:tcW w:w="3904" w:type="dxa"/>
          </w:tcPr>
          <w:p>
            <w:pPr/>
            <w:r>
              <w:t xml:space="preserve">Licence et lien avec la console</w:t>
            </w:r>
          </w:p>
        </w:tc>
        <w:tc>
          <w:tcPr>
            <w:tcW w:w="5455" w:type="dxa"/>
          </w:tcPr>
          <w:p>
            <w:pPr/>
            <w:r>
              <w:t xml:space="preserve">Vérifie la licence signée, la tient à jour, exécute les opérations demandées</w:t>
            </w:r>
          </w:p>
        </w:tc>
      </w:tr>
      <w:tr>
        <w:tc>
          <w:tcPr>
            <w:tcW w:w="3904" w:type="dxa"/>
          </w:tcPr>
          <w:p>
            <w:pPr/>
            <w:r>
              <w:t xml:space="preserve">Synchronisation</w:t>
            </w:r>
          </w:p>
        </w:tc>
        <w:tc>
          <w:tcPr>
            <w:tcW w:w="5455" w:type="dxa"/>
          </w:tcPr>
          <w:p>
            <w:pPr/>
            <w:r>
              <w:t xml:space="preserve">Permet aux applications hors ligne de se synchroniser sans doublon</w:t>
            </w:r>
          </w:p>
        </w:tc>
      </w:tr>
      <w:tr>
        <w:tc>
          <w:tcPr>
            <w:tcW w:w="3904" w:type="dxa"/>
          </w:tcPr>
          <w:p>
            <w:pPr/>
            <w:r>
              <w:t xml:space="preserve">Intégrations</w:t>
            </w:r>
          </w:p>
        </w:tc>
        <w:tc>
          <w:tcPr>
            <w:tcW w:w="5455" w:type="dxa"/>
          </w:tcPr>
          <w:p>
            <w:pPr/>
            <w:r>
              <w:t xml:space="preserve">Le client autorise ou retire les applications externes</w:t>
            </w:r>
          </w:p>
        </w:tc>
      </w:tr>
      <w:tr>
        <w:tc>
          <w:tcPr>
            <w:tcW w:w="3904" w:type="dxa"/>
          </w:tcPr>
          <w:p>
            <w:pPr/>
            <w:r>
              <w:t xml:space="preserve">Support</w:t>
            </w:r>
          </w:p>
        </w:tc>
        <w:tc>
          <w:tcPr>
            <w:tcW w:w="5455" w:type="dxa"/>
          </w:tcPr>
          <w:p>
            <w:pPr/>
            <w:r>
              <w:t xml:space="preserve">Tickets du client vers NetByUs</w:t>
            </w:r>
          </w:p>
        </w:tc>
      </w:tr>
      <w:tr>
        <w:tc>
          <w:tcPr>
            <w:tcW w:w="3904" w:type="dxa"/>
          </w:tcPr>
          <w:p>
            <w:pPr/>
            <w:r>
              <w:t xml:space="preserve">Personnalisation</w:t>
            </w:r>
          </w:p>
        </w:tc>
        <w:tc>
          <w:tcPr>
            <w:tcW w:w="5455" w:type="dxa"/>
          </w:tcPr>
          <w:p>
            <w:pPr/>
            <w:r>
              <w:t xml:space="preserve">Champs personnalisés, listes de valeurs, libellés</w:t>
            </w:r>
          </w:p>
        </w:tc>
      </w:tr>
      <w:tr>
        <w:tc>
          <w:tcPr>
            <w:tcW w:w="3904" w:type="dxa"/>
          </w:tcPr>
          <w:p>
            <w:pPr/>
            <w:r>
              <w:t xml:space="preserve">Circuits de validation</w:t>
            </w:r>
          </w:p>
        </w:tc>
        <w:tc>
          <w:tcPr>
            <w:tcW w:w="5455" w:type="dxa"/>
          </w:tcPr>
          <w:p>
            <w:pPr/>
            <w:r>
              <w:t xml:space="preserve">Validation en plusieurs étapes, réutilisable par les modules</w:t>
            </w:r>
          </w:p>
        </w:tc>
      </w:tr>
    </w:tbl>
    <w:p>
      <w:pPr/>
      <w:r>
        <w:t xml:space="preserve">Contacts, Catalogue et Moyens de paiement ne sont pas dans le socle. Un client qui ne prend que RH et Chat n'a besoin ni de tiers ni de produits : Contacts est un module vendable, Catalogue et Moyens de paiement sont des modules de base.</w:t>
      </w:r>
    </w:p>
    <w:p>
      <w:pPr>
        <w:pStyle w:val="Heading2"/>
      </w:pPr>
      <w:r>
        <w:t xml:space="preserve">9. Comment les modules coopèrent et s'étendent</w:t>
      </w:r>
    </w:p>
    <w:p>
      <w:pPr/>
      <w:r>
        <w:t xml:space="preserve">Il n'existe que trois façons de faire coopérer des modules, plus une pour l'écran. Toute autre est interdite et bloquée par un contrôle automatique (Deptrac côté API, ESLint côté écran).</w:t>
      </w:r>
    </w:p>
    <w:tbl>
      <w:tblPr>
        <w:tblStyle w:val="TableGrid"/>
        <w:tblW w:w="0" w:type="auto"/>
        <w:tblLayout w:type="fixed"/>
        <w:tblLook w:val="04A0" w:firstRow="1" w:lastRow="0" w:firstColumn="0" w:lastColumn="0" w:noHBand="0" w:noVBand="1"/>
      </w:tblPr>
      <w:tblGrid>
        <w:gridCol w:w="3014"/>
        <w:gridCol w:w="3495"/>
        <w:gridCol w:w="2851"/>
      </w:tblGrid>
      <w:tr>
        <w:trPr>
          <w:tblHeader/>
        </w:trPr>
        <w:tc>
          <w:tcPr>
            <w:tcW w:w="3014" w:type="dxa"/>
            <w:shd w:val="clear" w:color="auto" w:fill="F2F2F2"/>
          </w:tcPr>
          <w:p>
            <w:pPr/>
            <w:r>
              <w:t xml:space="preserve">Mécanisme</w:t>
            </w:r>
          </w:p>
        </w:tc>
        <w:tc>
          <w:tcPr>
            <w:tcW w:w="3495" w:type="dxa"/>
            <w:shd w:val="clear" w:color="auto" w:fill="F2F2F2"/>
          </w:tcPr>
          <w:p>
            <w:pPr/>
            <w:r>
              <w:t xml:space="preserve">Quand l'utiliser</w:t>
            </w:r>
          </w:p>
        </w:tc>
        <w:tc>
          <w:tcPr>
            <w:tcW w:w="2851" w:type="dxa"/>
            <w:shd w:val="clear" w:color="auto" w:fill="F2F2F2"/>
          </w:tcPr>
          <w:p>
            <w:pPr/>
            <w:r>
              <w:t xml:space="preserve">Exemple</w:t>
            </w:r>
          </w:p>
        </w:tc>
      </w:tr>
      <w:tr>
        <w:tc>
          <w:tcPr>
            <w:tcW w:w="3014" w:type="dxa"/>
          </w:tcPr>
          <w:p>
            <w:pPr/>
            <w:r>
              <w:t xml:space="preserve">Événement</w:t>
            </w:r>
          </w:p>
        </w:tc>
        <w:tc>
          <w:tcPr>
            <w:tcW w:w="3495" w:type="dxa"/>
          </w:tcPr>
          <w:p>
            <w:pPr/>
            <w:r>
              <w:t xml:space="preserve">Annoncer ce qui s'est passé, sans savoir qui écoute</w:t>
            </w:r>
          </w:p>
        </w:tc>
        <w:tc>
          <w:tcPr>
            <w:tcW w:w="2851" w:type="dxa"/>
          </w:tcPr>
          <w:p>
            <w:pPr/>
            <w:r>
              <w:t xml:space="preserve">Un contact est archivé</w:t>
            </w:r>
          </w:p>
        </w:tc>
      </w:tr>
      <w:tr>
        <w:tc>
          <w:tcPr>
            <w:tcW w:w="3014" w:type="dxa"/>
          </w:tcPr>
          <w:p>
            <w:pPr/>
            <w:r>
              <w:t xml:space="preserve">Vitrine d'un module requis</w:t>
            </w:r>
          </w:p>
        </w:tc>
        <w:tc>
          <w:tcPr>
            <w:tcW w:w="3495" w:type="dxa"/>
          </w:tcPr>
          <w:p>
            <w:pPr/>
            <w:r>
              <w:t xml:space="preserve">Utiliser un module qu'on requiert</w:t>
            </w:r>
          </w:p>
        </w:tc>
        <w:tc>
          <w:tcPr>
            <w:tcW w:w="2851" w:type="dxa"/>
          </w:tcPr>
          <w:p>
            <w:pPr/>
            <w:r>
              <w:t xml:space="preserve">Paie lit les collaborateurs</w:t>
            </w:r>
          </w:p>
        </w:tc>
      </w:tr>
      <w:tr>
        <w:tc>
          <w:tcPr>
            <w:tcW w:w="3014" w:type="dxa"/>
          </w:tcPr>
          <w:p>
            <w:pPr/>
            <w:r>
              <w:t xml:space="preserve">Pont</w:t>
            </w:r>
          </w:p>
        </w:tc>
        <w:tc>
          <w:tcPr>
            <w:tcW w:w="3495" w:type="dxa"/>
          </w:tcPr>
          <w:p>
            <w:pPr/>
            <w:r>
              <w:t xml:space="preserve">Faire travailler deux modules facultatifs l'un pour l'autre</w:t>
            </w:r>
          </w:p>
        </w:tc>
        <w:tc>
          <w:tcPr>
            <w:tcW w:w="2851" w:type="dxa"/>
          </w:tcPr>
          <w:p>
            <w:pPr/>
            <w:r>
              <w:t xml:space="preserve">pos-contacts : choisir le client dans le répertoire en caisse</w:t>
            </w:r>
          </w:p>
        </w:tc>
      </w:tr>
      <w:tr>
        <w:tc>
          <w:tcPr>
            <w:tcW w:w="3014" w:type="dxa"/>
          </w:tcPr>
          <w:p>
            <w:pPr/>
            <w:r>
              <w:t xml:space="preserve">Emplacement d'écran</w:t>
            </w:r>
          </w:p>
        </w:tc>
        <w:tc>
          <w:tcPr>
            <w:tcW w:w="3495" w:type="dxa"/>
          </w:tcPr>
          <w:p>
            <w:pPr/>
            <w:r>
              <w:t xml:space="preserve">Ajouter un onglet ou un widget sans modifier l'écran d'un autre module</w:t>
            </w:r>
          </w:p>
        </w:tc>
        <w:tc>
          <w:tcPr>
            <w:tcW w:w="2851" w:type="dxa"/>
          </w:tcPr>
          <w:p>
            <w:pPr/>
            <w:r>
              <w:t xml:space="preserve">Le pont pos-contacts ajoute l'onglet « Achats » à la fiche contact</w:t>
            </w:r>
          </w:p>
        </w:tc>
      </w:tr>
    </w:tbl>
    <w:p>
      <w:pPr/>
      <w:r>
        <w:t xml:space="preserve">La vitrine d'un module est le dossier Public/ : les quelques classes qu'il accepte de montrer (contrats, événements, points d'extension, objets de données). Tout le reste est privé.</w:t>
      </w:r>
    </w:p>
    <w:p>
      <w:pPr/>
      <w:r>
        <w:rPr>
          <w:b/>
          <w:bCs/>
        </w:rPr>
        <w:t xml:space="preserve">Modifier une application sans toucher à son code</w:t>
      </w:r>
      <w:r>
        <w:t xml:space="preserve"> est donc possible par quatre voies : les événements, les points d'extension de la vitrine, les emplacements d'écran et, pour un client précis, l'extension client. Une modification dans un module ne peut pas en casser un autre.</w:t>
      </w:r>
    </w:p>
    <w:p>
      <w:pPr/>
      <w:r>
        <w:rPr>
          <w:b/>
          <w:bCs/>
        </w:rPr>
        <w:t xml:space="preserve">Ce que BY+ ne fait pas :</w:t>
      </w:r>
      <w:r>
        <w:t xml:space="preserve"> pas de microservices, pas de code propre à un client dans un module, pas de branche Git par client, pas de version du code par serveur, pas de schéma de base différent selon les clients.</w:t>
      </w:r>
    </w:p>
    <w:p>
      <w:pPr/>
      <w:r>
        <w:t xml:space="preserve">Côté mobile, l'application de caisse n'est pas un module : chaque partie de BY+ y expose ce qui lui revient, sous /api/v1/mobile/.</w:t>
      </w:r>
    </w:p>
    <w:p>
      <w:pPr>
        <w:pStyle w:val="Heading2"/>
      </w:pPr>
      <w:r>
        <w:t xml:space="preserve">10. Spécificités du marché</w:t>
      </w:r>
    </w:p>
    <w:tbl>
      <w:tblPr>
        <w:tblStyle w:val="TableGrid"/>
        <w:tblW w:w="0" w:type="auto"/>
        <w:tblLayout w:type="fixed"/>
        <w:tblLook w:val="04A0" w:firstRow="1" w:lastRow="0" w:firstColumn="0" w:lastColumn="0" w:noHBand="0" w:noVBand="1"/>
      </w:tblPr>
      <w:tblGrid>
        <w:gridCol w:w="4114"/>
        <w:gridCol w:w="5245"/>
      </w:tblGrid>
      <w:tr>
        <w:trPr>
          <w:tblHeader/>
        </w:trPr>
        <w:tc>
          <w:tcPr>
            <w:tcW w:w="4114" w:type="dxa"/>
            <w:shd w:val="clear" w:color="auto" w:fill="F2F2F2"/>
          </w:tcPr>
          <w:p>
            <w:pPr/>
            <w:r>
              <w:t xml:space="preserve">Sujet</w:t>
            </w:r>
          </w:p>
        </w:tc>
        <w:tc>
          <w:tcPr>
            <w:tcW w:w="5245" w:type="dxa"/>
            <w:shd w:val="clear" w:color="auto" w:fill="F2F2F2"/>
          </w:tcPr>
          <w:p>
            <w:pPr/>
            <w:r>
              <w:t xml:space="preserve">Ce que BY+ apporte</w:t>
            </w:r>
          </w:p>
        </w:tc>
      </w:tr>
      <w:tr>
        <w:tc>
          <w:tcPr>
            <w:tcW w:w="4114" w:type="dxa"/>
          </w:tcPr>
          <w:p>
            <w:pPr/>
            <w:r>
              <w:t xml:space="preserve">Connexion instable</w:t>
            </w:r>
          </w:p>
        </w:tc>
        <w:tc>
          <w:tcPr>
            <w:tcW w:w="5245" w:type="dxa"/>
          </w:tcPr>
          <w:p>
            <w:pPr/>
            <w:r>
              <w:t xml:space="preserve">La caisse mobile vend sans réseau et se synchronise ensuite, sans doublon</w:t>
            </w:r>
          </w:p>
        </w:tc>
      </w:tr>
      <w:tr>
        <w:tc>
          <w:tcPr>
            <w:tcW w:w="4114" w:type="dxa"/>
          </w:tcPr>
          <w:p>
            <w:pPr/>
            <w:r>
              <w:t xml:space="preserve">Téléphone d'entrée de gamme</w:t>
            </w:r>
          </w:p>
        </w:tc>
        <w:tc>
          <w:tcPr>
            <w:tcW w:w="5245" w:type="dxa"/>
          </w:tcPr>
          <w:p>
            <w:pPr/>
            <w:r>
              <w:t xml:space="preserve">Chaque écran fonctionne dès 375 px ; le navigateur ne télécharge que les modules du client</w:t>
            </w:r>
          </w:p>
        </w:tc>
      </w:tr>
      <w:tr>
        <w:tc>
          <w:tcPr>
            <w:tcW w:w="4114" w:type="dxa"/>
          </w:tcPr>
          <w:p>
            <w:pPr/>
            <w:r>
              <w:t xml:space="preserve">Mobile Money</w:t>
            </w:r>
          </w:p>
        </w:tc>
        <w:tc>
          <w:tcPr>
            <w:tcW w:w="5245" w:type="dxa"/>
          </w:tcPr>
          <w:p>
            <w:pPr/>
            <w:r>
              <w:t xml:space="preserve">Moyen de paiement de la liste ; abonnements payés par KkiaPay ou FedaPay ; l'intégration directe des opérateurs en caisse reste à décider (section 6.2)</w:t>
            </w:r>
          </w:p>
        </w:tc>
      </w:tr>
      <w:tr>
        <w:tc>
          <w:tcPr>
            <w:tcW w:w="4114" w:type="dxa"/>
          </w:tcPr>
          <w:p>
            <w:pPr/>
            <w:r>
              <w:t xml:space="preserve">Crédit client et paiements partiels</w:t>
            </w:r>
          </w:p>
        </w:tc>
        <w:tc>
          <w:tcPr>
            <w:tcW w:w="5245" w:type="dxa"/>
          </w:tcPr>
          <w:p>
            <w:pPr/>
            <w:r>
              <w:t xml:space="preserve">À couvrir (section 6.2)</w:t>
            </w:r>
          </w:p>
        </w:tc>
      </w:tr>
      <w:tr>
        <w:tc>
          <w:tcPr>
            <w:tcW w:w="4114" w:type="dxa"/>
          </w:tcPr>
          <w:p>
            <w:pPr/>
            <w:r>
              <w:t xml:space="preserve">Devises</w:t>
            </w:r>
          </w:p>
        </w:tc>
        <w:tc>
          <w:tcPr>
            <w:tcW w:w="5245" w:type="dxa"/>
          </w:tcPr>
          <w:p>
            <w:pPr/>
            <w:r>
              <w:t xml:space="preserve">Pays, devises et fuseaux sont des listes du socle ; les montants de la console sont des entiers en F CFA</w:t>
            </w:r>
          </w:p>
        </w:tc>
      </w:tr>
      <w:tr>
        <w:tc>
          <w:tcPr>
            <w:tcW w:w="4114" w:type="dxa"/>
          </w:tcPr>
          <w:p>
            <w:pPr/>
            <w:r>
              <w:t xml:space="preserve">Fiscalité locale</w:t>
            </w:r>
          </w:p>
        </w:tc>
        <w:tc>
          <w:tcPr>
            <w:tcW w:w="5245" w:type="dxa"/>
          </w:tcPr>
          <w:p>
            <w:pPr/>
            <w:r>
              <w:t xml:space="preserve">Module Normalisation pour la DGI du Bénin, jamais bloquant : si la DGI ne répond pas, la vente reste valide. Un pack pays reste à définir pour un autre pays</w:t>
            </w:r>
          </w:p>
        </w:tc>
      </w:tr>
      <w:tr>
        <w:tc>
          <w:tcPr>
            <w:tcW w:w="4114" w:type="dxa"/>
          </w:tcPr>
          <w:p>
            <w:pPr/>
            <w:r>
              <w:t xml:space="preserve">WhatsApp</w:t>
            </w:r>
          </w:p>
        </w:tc>
        <w:tc>
          <w:tcPr>
            <w:tcW w:w="5245" w:type="dxa"/>
          </w:tcPr>
          <w:p>
            <w:pPr/>
            <w:r>
              <w:t xml:space="preserve">Code de connexion, notifications et envoi du ticket au client</w:t>
            </w:r>
          </w:p>
        </w:tc>
      </w:tr>
      <w:tr>
        <w:tc>
          <w:tcPr>
            <w:tcW w:w="4114" w:type="dxa"/>
          </w:tcPr>
          <w:p>
            <w:pPr/>
            <w:r>
              <w:t xml:space="preserve">Langues</w:t>
            </w:r>
          </w:p>
        </w:tc>
        <w:tc>
          <w:tcPr>
            <w:tcW w:w="5245" w:type="dxa"/>
          </w:tcPr>
          <w:p>
            <w:pPr/>
            <w:r>
              <w:t xml:space="preserve">Tout texte existe en français et en anglais ; pas de langue locale prévue</w:t>
            </w:r>
          </w:p>
        </w:tc>
      </w:tr>
      <w:tr>
        <w:tc>
          <w:tcPr>
            <w:tcW w:w="4114" w:type="dxa"/>
          </w:tcPr>
          <w:p>
            <w:pPr/>
            <w:r>
              <w:t xml:space="preserve">Hébergement</w:t>
            </w:r>
          </w:p>
        </w:tc>
        <w:tc>
          <w:tcPr>
            <w:tcW w:w="5245" w:type="dxa"/>
          </w:tcPr>
          <w:p>
            <w:pPr/>
            <w:r>
              <w:t xml:space="preserve">Serveur NetByUs, SaaS ou serveur dédié, avec sauvegarde de nuit</w:t>
            </w:r>
          </w:p>
        </w:tc>
      </w:tr>
    </w:tbl>
    <w:p>
      <w:pPr>
        <w:pStyle w:val="Heading2"/>
      </w:pPr>
      <w:r>
        <w:t xml:space="preserve">11. Les produits historiques dans la suite</w:t>
      </w:r>
    </w:p>
    <w:p>
      <w:pPr/>
      <w:r>
        <w:t xml:space="preserve">Ce rattachement est une proposition à confirmer : les noms ERP, SHOP, ACCESS et EVENT ne sont pas encore liés à des offres précises.</w:t>
      </w:r>
    </w:p>
    <w:tbl>
      <w:tblPr>
        <w:tblStyle w:val="TableGrid"/>
        <w:tblW w:w="0" w:type="auto"/>
        <w:tblLayout w:type="fixed"/>
        <w:tblLook w:val="04A0" w:firstRow="1" w:lastRow="0" w:firstColumn="0" w:lastColumn="0" w:noHBand="0" w:noVBand="1"/>
      </w:tblPr>
      <w:tblGrid>
        <w:gridCol w:w="4268"/>
        <w:gridCol w:w="5091"/>
      </w:tblGrid>
      <w:tr>
        <w:trPr>
          <w:tblHeader/>
        </w:trPr>
        <w:tc>
          <w:tcPr>
            <w:tcW w:w="4268" w:type="dxa"/>
            <w:shd w:val="clear" w:color="auto" w:fill="F2F2F2"/>
          </w:tcPr>
          <w:p>
            <w:pPr/>
            <w:r>
              <w:t xml:space="preserve">Produit historique</w:t>
            </w:r>
          </w:p>
        </w:tc>
        <w:tc>
          <w:tcPr>
            <w:tcW w:w="5091" w:type="dxa"/>
            <w:shd w:val="clear" w:color="auto" w:fill="F2F2F2"/>
          </w:tcPr>
          <w:p>
            <w:pPr/>
            <w:r>
              <w:t xml:space="preserve">Modules du catalogue</w:t>
            </w:r>
          </w:p>
        </w:tc>
      </w:tr>
      <w:tr>
        <w:tc>
          <w:tcPr>
            <w:tcW w:w="4268" w:type="dxa"/>
          </w:tcPr>
          <w:p>
            <w:pPr/>
            <w:r>
              <w:t xml:space="preserve">BY+ SHOP (commerces, restaurants)</w:t>
            </w:r>
          </w:p>
        </w:tc>
        <w:tc>
          <w:tcPr>
            <w:tcW w:w="5091" w:type="dxa"/>
          </w:tcPr>
          <w:p>
            <w:pPr/>
            <w:r>
              <w:t xml:space="preserve">POS, Entrepôt, Catalogue, Moyens de paiement, Contacts, Normalisation, avec Fidélité et Facturation ; la restauration reste à définir</w:t>
            </w:r>
          </w:p>
        </w:tc>
      </w:tr>
      <w:tr>
        <w:tc>
          <w:tcPr>
            <w:tcW w:w="4268" w:type="dxa"/>
          </w:tcPr>
          <w:p>
            <w:pPr/>
            <w:r>
              <w:t xml:space="preserve">BY+ ERP (entreprises)</w:t>
            </w:r>
          </w:p>
        </w:tc>
        <w:tc>
          <w:tcPr>
            <w:tcW w:w="5091" w:type="dxa"/>
          </w:tcPr>
          <w:p>
            <w:pPr/>
            <w:r>
              <w:t xml:space="preserve">RH (Collaborateurs, Congés, Paie, Évaluations, Présence), Finance (Dépenses, Budget), Facturation, Projets, Documents</w:t>
            </w:r>
          </w:p>
        </w:tc>
      </w:tr>
      <w:tr>
        <w:tc>
          <w:tcPr>
            <w:tcW w:w="4268" w:type="dxa"/>
          </w:tcPr>
          <w:p>
            <w:pPr/>
            <w:r>
              <w:t xml:space="preserve">BY+ ACCESS (sécurité des sites)</w:t>
            </w:r>
          </w:p>
        </w:tc>
        <w:tc>
          <w:tcPr>
            <w:tcW w:w="5091" w:type="dxa"/>
          </w:tcPr>
          <w:p>
            <w:pPr/>
            <w:r>
              <w:t xml:space="preserve">Access, avec Présence et Contacts par ponts ; la passerelle matérielle reste un service séparé</w:t>
            </w:r>
          </w:p>
        </w:tc>
      </w:tr>
      <w:tr>
        <w:tc>
          <w:tcPr>
            <w:tcW w:w="4268" w:type="dxa"/>
          </w:tcPr>
          <w:p>
            <w:pPr/>
            <w:r>
              <w:t xml:space="preserve">BY+ EVENT (événements)</w:t>
            </w:r>
          </w:p>
        </w:tc>
        <w:tc>
          <w:tcPr>
            <w:tcW w:w="5091" w:type="dxa"/>
          </w:tcPr>
          <w:p>
            <w:pPr/>
            <w:r>
              <w:t xml:space="preserve">Event (requiert Portail client, Contacts, Formulaires), NPS, QVCT</w:t>
            </w:r>
          </w:p>
        </w:tc>
      </w:tr>
    </w:tbl>
    <w:p>
      <w:pPr/>
      <w:r>
        <w:t xml:space="preserve">Attention au mot « Shop » : il désigne à la fois l'offre commerce, l'application mobile de caisse et une application enregistrée dans la console.</w:t>
      </w:r>
    </w:p>
    <w:p>
      <w:pPr>
        <w:pStyle w:val="Heading2"/>
      </w:pPr>
      <w:r>
        <w:t xml:space="preserve">12. Règles de conception pour les équipes</w:t>
      </w:r>
    </w:p>
    <w:p>
      <w:pPr/>
      <w:r>
        <w:t xml:space="preserve">Pour qu'un nouveau développement respecte la vision :</w:t>
      </w:r>
    </w:p>
    <w:p>
      <w:pPr>
        <w:pStyle w:val="ListParagraph"/>
        <w:numPr>
          <w:ilvl w:val="0"/>
          <w:numId w:val="5"/>
        </w:numPr>
      </w:pPr>
      <w:r>
        <w:rPr>
          <w:b/>
          <w:bCs/>
        </w:rPr>
        <w:t xml:space="preserve">Le test des 4 questions</w:t>
      </w:r>
      <w:r>
        <w:t xml:space="preserve"> décide si une fonction est un module (section 5.5).</w:t>
      </w:r>
    </w:p>
    <w:p>
      <w:pPr>
        <w:pStyle w:val="ListParagraph"/>
        <w:numPr>
          <w:ilvl w:val="0"/>
          <w:numId w:val="5"/>
        </w:numPr>
      </w:pPr>
      <w:r>
        <w:rPr>
          <w:b/>
          <w:bCs/>
        </w:rPr>
        <w:t xml:space="preserve">Requis ou pont</w:t>
      </w:r>
      <w:r>
        <w:t xml:space="preserve"> : A a-t-il un sens sans B ? Non : A requiert B. Oui : un pont les relie. Jamais les deux.</w:t>
      </w:r>
    </w:p>
    <w:p>
      <w:pPr>
        <w:pStyle w:val="ListParagraph"/>
        <w:numPr>
          <w:ilvl w:val="0"/>
          <w:numId w:val="5"/>
        </w:numPr>
      </w:pPr>
      <w:r>
        <w:rPr>
          <w:b/>
          <w:bCs/>
        </w:rPr>
        <w:t xml:space="preserve">Un module n'utilise que le socle</w:t>
      </w:r>
      <w:r>
        <w:t xml:space="preserve"> et la vitrine des modules qu'il requiert. Jamais l'intérieur d'un autre module.</w:t>
      </w:r>
    </w:p>
    <w:p>
      <w:pPr>
        <w:pStyle w:val="ListParagraph"/>
        <w:numPr>
          <w:ilvl w:val="0"/>
          <w:numId w:val="5"/>
        </w:numPr>
      </w:pPr>
      <w:r>
        <w:rPr>
          <w:b/>
          <w:bCs/>
        </w:rPr>
        <w:t xml:space="preserve">Aucun nom de client, aucune liste de modules ou d'offres dans le code.</w:t>
      </w:r>
      <w:r>
        <w:t xml:space="preserve"> Un besoin propre suit l'échelle de personnalisation.</w:t>
      </w:r>
    </w:p>
    <w:p>
      <w:pPr>
        <w:pStyle w:val="ListParagraph"/>
        <w:numPr>
          <w:ilvl w:val="0"/>
          <w:numId w:val="5"/>
        </w:numPr>
      </w:pPr>
      <w:r>
        <w:rPr>
          <w:b/>
          <w:bCs/>
        </w:rPr>
        <w:t xml:space="preserve">Chaque table porte le préfixe de son module</w:t>
      </w:r>
      <w:r>
        <w:t xml:space="preserve">, et une clé étrangère ne va que vers le socle ou un module requis.</w:t>
      </w:r>
    </w:p>
    <w:p>
      <w:pPr>
        <w:pStyle w:val="ListParagraph"/>
        <w:numPr>
          <w:ilvl w:val="0"/>
          <w:numId w:val="5"/>
        </w:numPr>
      </w:pPr>
      <w:r>
        <w:rPr>
          <w:b/>
          <w:bCs/>
        </w:rPr>
        <w:t xml:space="preserve">Chaque adresse de l'API vérifie le droit</w:t>
      </w:r>
      <w:r>
        <w:t xml:space="preserve">, le module et la société : l'écran cache par confort, l'API décide.</w:t>
      </w:r>
    </w:p>
    <w:p>
      <w:pPr>
        <w:pStyle w:val="ListParagraph"/>
        <w:numPr>
          <w:ilvl w:val="0"/>
          <w:numId w:val="5"/>
        </w:numPr>
      </w:pPr>
      <w:r>
        <w:rPr>
          <w:b/>
          <w:bCs/>
        </w:rPr>
        <w:t xml:space="preserve">Tout texte existe en français et en anglais</w:t>
      </w:r>
      <w:r>
        <w:t xml:space="preserve">, par clé. Chaque écran fonctionne dès 375 px.</w:t>
      </w:r>
    </w:p>
    <w:p>
      <w:pPr>
        <w:pStyle w:val="Heading2"/>
      </w:pPr>
      <w:r>
        <w:t xml:space="preserve">13. Questions fréquentes</w:t>
      </w:r>
    </w:p>
    <w:p>
      <w:pPr/>
      <w:r>
        <w:rPr>
          <w:b/>
          <w:bCs/>
        </w:rPr>
        <w:t xml:space="preserve">Un client peut-il n'acheter que le POS ?</w:t>
      </w:r>
      <w:r>
        <w:t xml:space="preserve"> Oui. POS active automatiquement Catalogue et Moyens de paiement, qui sont des modules de base.</w:t>
      </w:r>
    </w:p>
    <w:p>
      <w:pPr/>
      <w:r>
        <w:rPr>
          <w:b/>
          <w:bCs/>
        </w:rPr>
        <w:t xml:space="preserve">Peut-on prendre seulement une partie d'une famille ?</w:t>
      </w:r>
      <w:r>
        <w:t xml:space="preserve"> Oui. La famille est un classement du catalogue, pas un lot. Le client choisit les modules qu'il veut, dans une ou plusieurs familles.</w:t>
      </w:r>
    </w:p>
    <w:p>
      <w:pPr/>
      <w:r>
        <w:rPr>
          <w:b/>
          <w:bCs/>
        </w:rPr>
        <w:t xml:space="preserve">BY+ ERP est-il un module ?</w:t>
      </w:r>
      <w:r>
        <w:t xml:space="preserve"> Non. C'est un nom commercial possible pour une offre fixe qui regroupe plusieurs modules, à confirmer.</w:t>
      </w:r>
    </w:p>
    <w:p>
      <w:pPr/>
      <w:r>
        <w:rPr>
          <w:b/>
          <w:bCs/>
        </w:rPr>
        <w:t xml:space="preserve">Quelle différence entre module, pont et offre ?</w:t>
      </w:r>
      <w:r>
        <w:t xml:space="preserve"> Un module est un métier utilisable seul. Un pont relie deux modules, sans se vendre. Une offre est l'ensemble des modules choisis par un client.</w:t>
      </w:r>
    </w:p>
    <w:p>
      <w:pPr/>
      <w:r>
        <w:rPr>
          <w:b/>
          <w:bCs/>
        </w:rPr>
        <w:t xml:space="preserve">Un client peut-il s'activer un module lui-même ?</w:t>
      </w:r>
      <w:r>
        <w:t xml:space="preserve"> Non. Seule la licence signée par NetByUs active un module, même sur un serveur dédié.</w:t>
      </w:r>
    </w:p>
    <w:p>
      <w:pPr/>
      <w:r>
        <w:rPr>
          <w:b/>
          <w:bCs/>
        </w:rPr>
        <w:t xml:space="preserve">Que se passe-t-il quand l'abonnement s'arrête ?</w:t>
      </w:r>
      <w:r>
        <w:t xml:space="preserve"> Le client passe en grâce, puis en lecture seule, puis sa base est archivée après avertissements (section 7.3).</w:t>
      </w:r>
    </w:p>
    <w:p>
      <w:pPr/>
      <w:r>
        <w:rPr>
          <w:b/>
          <w:bCs/>
        </w:rPr>
        <w:t xml:space="preserve">Un module peut-il en modifier un autre sans toucher à son code ?</w:t>
      </w:r>
      <w:r>
        <w:t xml:space="preserve"> Oui, par les événements, les points d'extension de la vitrine et les emplacements d'écran (section 9).</w:t>
      </w:r>
    </w:p>
    <w:p>
      <w:pPr>
        <w:pStyle w:val="Heading2"/>
      </w:pPr>
      <w:r>
        <w:t xml:space="preserve">14. Points ouverts à valider</w:t>
      </w:r>
    </w:p>
    <w:p>
      <w:pPr>
        <w:pStyle w:val="ListParagraph"/>
        <w:numPr>
          <w:ilvl w:val="0"/>
          <w:numId w:val="6"/>
        </w:numPr>
      </w:pPr>
      <w:r>
        <w:t xml:space="preserve">Rattacher les noms commerciaux BY+ SHOP, ERP, ACCESS et EVENT à des offres fixes précises (section 11), et nommer distinctement les trois sens du mot « Shop ».</w:t>
      </w:r>
    </w:p>
    <w:p>
      <w:pPr>
        <w:pStyle w:val="ListParagraph"/>
        <w:numPr>
          <w:ilvl w:val="0"/>
          <w:numId w:val="6"/>
        </w:numPr>
      </w:pPr>
      <w:r>
        <w:t xml:space="preserve">Décider de la restauration, de la comptabilité, du Mobile Money en caisse et des packs pays (section 6.2).</w:t>
      </w:r>
    </w:p>
    <w:p>
      <w:pPr>
        <w:pStyle w:val="ListParagraph"/>
        <w:numPr>
          <w:ilvl w:val="0"/>
          <w:numId w:val="6"/>
        </w:numPr>
      </w:pPr>
      <w:r>
        <w:t xml:space="preserve">Fixer les prix des offres fixes : la grille versionnée existe, les montants restent à définir.</w:t>
      </w:r>
    </w:p>
    <w:p>
      <w:pPr>
        <w:pStyle w:val="ListParagraph"/>
        <w:numPr>
          <w:ilvl w:val="0"/>
          <w:numId w:val="6"/>
        </w:numPr>
      </w:pPr>
      <w:r>
        <w:t xml:space="preserve">Nommer un responsable par module et par pont.</w:t>
      </w:r>
    </w:p>
    <w:p>
      <w:pPr>
        <w:pStyle w:val="ListParagraph"/>
        <w:numPr>
          <w:ilvl w:val="0"/>
          <w:numId w:val="6"/>
        </w:numPr>
      </w:pPr>
      <w:r>
        <w:t xml:space="preserve">Trancher deux questions restantes : Karaoké fonctionne-t-il seul ou seulement dans un événement ? Formulaires est-il un module de base ou vendable seul ?</w:t>
      </w:r>
    </w:p>
    <w:p>
      <w:pPr>
        <w:pStyle w:val="ListParagraph"/>
        <w:numPr>
          <w:ilvl w:val="0"/>
          <w:numId w:val="6"/>
        </w:numPr>
      </w:pPr>
      <w:r>
        <w:t xml:space="preserve">Pour les distributeurs : une instance peut-elle vendre plusieurs applications, et la console facture-t-elle les licences qu'ils émettent ?</w:t>
      </w:r>
    </w:p>
    <w:p>
      <w:pPr>
        <w:pStyle w:val="Heading3"/>
      </w:pPr>
      <w:r>
        <w:t xml:space="preserve">Sujets de cadrage</w:t>
      </w:r>
    </w:p>
    <w:tbl>
      <w:tblPr>
        <w:tblStyle w:val="TableGrid"/>
        <w:tblW w:w="0" w:type="auto"/>
        <w:tblLayout w:type="fixed"/>
        <w:tblLook w:val="04A0" w:firstRow="1" w:lastRow="0" w:firstColumn="0" w:lastColumn="0" w:noHBand="0" w:noVBand="1"/>
      </w:tblPr>
      <w:tblGrid>
        <w:gridCol w:w="3492"/>
        <w:gridCol w:w="5867"/>
      </w:tblGrid>
      <w:tr>
        <w:trPr>
          <w:tblHeader/>
        </w:trPr>
        <w:tc>
          <w:tcPr>
            <w:tcW w:w="3492" w:type="dxa"/>
            <w:shd w:val="clear" w:color="auto" w:fill="F2F2F2"/>
          </w:tcPr>
          <w:p>
            <w:pPr/>
            <w:r>
              <w:t xml:space="preserve">Sujet</w:t>
            </w:r>
          </w:p>
        </w:tc>
        <w:tc>
          <w:tcPr>
            <w:tcW w:w="5867" w:type="dxa"/>
            <w:shd w:val="clear" w:color="auto" w:fill="F2F2F2"/>
          </w:tcPr>
          <w:p>
            <w:pPr/>
            <w:r>
              <w:t xml:space="preserve">Question à trancher</w:t>
            </w:r>
          </w:p>
        </w:tc>
      </w:tr>
      <w:tr>
        <w:tc>
          <w:tcPr>
            <w:tcW w:w="3492" w:type="dxa"/>
          </w:tcPr>
          <w:p>
            <w:pPr/>
            <w:r>
              <w:t xml:space="preserve">Priorités de construction</w:t>
            </w:r>
          </w:p>
        </w:tc>
        <w:tc>
          <w:tcPr>
            <w:tcW w:w="5867" w:type="dxa"/>
          </w:tcPr>
          <w:p>
            <w:pPr/>
            <w:r>
              <w:t xml:space="preserve">Dans quel ordre construire les modules ? Facturation, Fidélité et NPS sont déjà prioritaires</w:t>
            </w:r>
          </w:p>
        </w:tc>
      </w:tr>
      <w:tr>
        <w:tc>
          <w:tcPr>
            <w:tcW w:w="3492" w:type="dxa"/>
          </w:tcPr>
          <w:p>
            <w:pPr/>
            <w:r>
              <w:t xml:space="preserve">Migration des clients</w:t>
            </w:r>
          </w:p>
        </w:tc>
        <w:tc>
          <w:tcPr>
            <w:tcW w:w="5867" w:type="dxa"/>
          </w:tcPr>
          <w:p>
            <w:pPr/>
            <w:r>
              <w:t xml:space="preserve">Comment un client de l'ancienne plateforme passe-t-il à BY+ sans ressaisie ni nouveau compte ?</w:t>
            </w:r>
          </w:p>
        </w:tc>
      </w:tr>
      <w:tr>
        <w:tc>
          <w:tcPr>
            <w:tcW w:w="3492" w:type="dxa"/>
          </w:tcPr>
          <w:p>
            <w:pPr/>
            <w:r>
              <w:t xml:space="preserve">Tarification</w:t>
            </w:r>
          </w:p>
        </w:tc>
        <w:tc>
          <w:tcPr>
            <w:tcW w:w="5867" w:type="dxa"/>
          </w:tcPr>
          <w:p>
            <w:pPr/>
            <w:r>
              <w:t xml:space="preserve">Quels montants pour les offres fixes et pour la grille à la carte ?</w:t>
            </w:r>
          </w:p>
        </w:tc>
      </w:tr>
      <w:tr>
        <w:tc>
          <w:tcPr>
            <w:tcW w:w="3492" w:type="dxa"/>
          </w:tcPr>
          <w:p>
            <w:pPr/>
            <w:r>
              <w:t xml:space="preserve">Gouvernance du catalogue</w:t>
            </w:r>
          </w:p>
        </w:tc>
        <w:tc>
          <w:tcPr>
            <w:tcW w:w="5867" w:type="dxa"/>
          </w:tcPr>
          <w:p>
            <w:pPr/>
            <w:r>
              <w:t xml:space="preserve">Qui décide qu'une fonction est un module, valide une famille, retire un module ?</w:t>
            </w:r>
          </w:p>
        </w:tc>
      </w:tr>
      <w:tr>
        <w:tc>
          <w:tcPr>
            <w:tcW w:w="3492" w:type="dxa"/>
          </w:tcPr>
          <w:p>
            <w:pPr/>
            <w:r>
              <w:t xml:space="preserve">Conformité et données</w:t>
            </w:r>
          </w:p>
        </w:tc>
        <w:tc>
          <w:tcPr>
            <w:tcW w:w="5867" w:type="dxa"/>
          </w:tcPr>
          <w:p>
            <w:pPr/>
            <w:r>
              <w:t xml:space="preserve">Comment traiter la biométrie d'Access et la protection des données personnelles dans chaque pays ?</w:t>
            </w:r>
          </w:p>
        </w:tc>
      </w:tr>
      <w:tr>
        <w:tc>
          <w:tcPr>
            <w:tcW w:w="3492" w:type="dxa"/>
          </w:tcPr>
          <w:p>
            <w:pPr/>
            <w:r>
              <w:t xml:space="preserve">Support</w:t>
            </w:r>
          </w:p>
        </w:tc>
        <w:tc>
          <w:tcPr>
            <w:tcW w:w="5867" w:type="dxa"/>
          </w:tcPr>
          <w:p>
            <w:pPr/>
            <w:r>
              <w:t xml:space="preserve">Quel niveau de support et de formation pour chaque module ?</w:t>
            </w:r>
          </w:p>
        </w:tc>
      </w:tr>
      <w:tr>
        <w:tc>
          <w:tcPr>
            <w:tcW w:w="3492" w:type="dxa"/>
          </w:tcPr>
          <w:p>
            <w:pPr/>
            <w:r>
              <w:t xml:space="preserve">Packs pays</w:t>
            </w:r>
          </w:p>
        </w:tc>
        <w:tc>
          <w:tcPr>
            <w:tcW w:w="5867" w:type="dxa"/>
          </w:tcPr>
          <w:p>
            <w:pPr/>
            <w:r>
              <w:t xml:space="preserve">Quels pays après le Bénin, dans quel ordre, avec quelle veille fiscale ?</w:t>
            </w:r>
          </w:p>
        </w:tc>
      </w:tr>
      <w:tr>
        <w:tc>
          <w:tcPr>
            <w:tcW w:w="3492" w:type="dxa"/>
          </w:tcPr>
          <w:p>
            <w:pPr/>
            <w:r>
              <w:t xml:space="preserve">Positionnement</w:t>
            </w:r>
          </w:p>
        </w:tc>
        <w:tc>
          <w:tcPr>
            <w:tcW w:w="5867" w:type="dxa"/>
          </w:tcPr>
          <w:p>
            <w:pPr/>
            <w:r>
              <w:t xml:space="preserve">Comment se placer face à Odoo, Zoho et aux solutions locales, et avec quels indicateurs de réussite ?</w:t>
            </w:r>
          </w:p>
        </w:tc>
      </w:tr>
      <w:tr>
        <w:tc>
          <w:tcPr>
            <w:tcW w:w="3492" w:type="dxa"/>
          </w:tcPr>
          <w:p>
            <w:pPr/>
            <w:r>
              <w:t xml:space="preserve">Partenaires</w:t>
            </w:r>
          </w:p>
        </w:tc>
        <w:tc>
          <w:tcPr>
            <w:tcW w:w="5867" w:type="dxa"/>
          </w:tcPr>
          <w:p>
            <w:pPr/>
            <w:r>
              <w:t xml:space="preserve">Ouvrir BY+ aux développeurs tiers et aux intégrateurs ? Quel partage de revenus avec les ambassadeurs et partenaires ?</w:t>
            </w:r>
          </w:p>
        </w:tc>
      </w:tr>
    </w:tbl>
    <w:p/>
    <w:sectPr>
      <w:pgSz w:w="12240" w:h="15840"/>
      <w:pgMar w:top="1440" w:right="1440" w:bottom="1440" w:left="1440" w:header="720" w:footer="720" w:gutter="0"/>
    </w:sectPr>
  </w:body>
</w:document>
</file>

<file path=word/numbering.xml><?xml version="1.0" encoding="utf-8"?>
<w:numbering xmlns:w="http://schemas.openxmlformats.org/wordprocessingml/2006/main">
  <w:abstractNum w:abstractNumId="0">
    <w:multiLevelType w:val="hybridMultilevel"/>
    <w:lvl w:ilvl="0">
      <w:start w:val="1"/>
      <w:numFmt w:val="bullet"/>
      <w:lvlText w:val="•"/>
      <w:lvlJc w:val="left"/>
      <w:pPr>
        <w:ind w:left="720" w:hanging="360"/>
      </w:pPr>
    </w:lvl>
    <w:lvl w:ilvl="1">
      <w:start w:val="1"/>
      <w:numFmt w:val="bullet"/>
      <w:lvlText w:val="o"/>
      <w:lvlJc w:val="left"/>
      <w:pPr>
        <w:ind w:left="1440" w:hanging="360"/>
      </w:pPr>
    </w:lvl>
    <w:lvl w:ilvl="2">
      <w:start w:val="1"/>
      <w:numFmt w:val="bullet"/>
      <w:lvlText w:val="▪"/>
      <w:lvlJc w:val="left"/>
      <w:pPr>
        <w:ind w:left="2160" w:hanging="360"/>
      </w:pPr>
    </w:lvl>
    <w:lvl w:ilvl="3">
      <w:start w:val="1"/>
      <w:numFmt w:val="bullet"/>
      <w:lvlText w:val="•"/>
      <w:lvlJc w:val="left"/>
      <w:pPr>
        <w:ind w:left="2880" w:hanging="360"/>
      </w:pPr>
    </w:lvl>
    <w:lvl w:ilvl="4">
      <w:start w:val="1"/>
      <w:numFmt w:val="bullet"/>
      <w:lvlText w:val="o"/>
      <w:lvlJc w:val="left"/>
      <w:pPr>
        <w:ind w:left="3600" w:hanging="360"/>
      </w:pPr>
    </w:lvl>
    <w:lvl w:ilvl="5">
      <w:start w:val="1"/>
      <w:numFmt w:val="bullet"/>
      <w:lvlText w:val="▪"/>
      <w:lvlJc w:val="left"/>
      <w:pPr>
        <w:ind w:left="4320" w:hanging="360"/>
      </w:pPr>
    </w:lvl>
    <w:lvl w:ilvl="6">
      <w:start w:val="1"/>
      <w:numFmt w:val="bullet"/>
      <w:lvlText w:val="•"/>
      <w:lvlJc w:val="left"/>
      <w:pPr>
        <w:ind w:left="5040" w:hanging="360"/>
      </w:pPr>
    </w:lvl>
    <w:lvl w:ilvl="7">
      <w:start w:val="1"/>
      <w:numFmt w:val="bullet"/>
      <w:lvlText w:val="o"/>
      <w:lvlJc w:val="left"/>
      <w:pPr>
        <w:ind w:left="5760" w:hanging="360"/>
      </w:pPr>
    </w:lvl>
    <w:lvl w:ilvl="8">
      <w:start w:val="1"/>
      <w:numFmt w:val="bullet"/>
      <w:lvlText w:val="▪"/>
      <w:lvlJc w:val="left"/>
      <w:pPr>
        <w:ind w:left="6480" w:hanging="360"/>
      </w:pPr>
    </w:lvl>
  </w:abstractNum>
  <w:abstractNum w:abstractNumId="1">
    <w:multiLevelType w:val="hybridMultilevel"/>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num w:numId="1">
    <w:abstractNumId w:val="0"/>
  </w:num>
  <w:num w:numId="2">
    <w:abstractNumId w:val="0"/>
  </w:num>
  <w:num w:numId="3">
    <w:abstractNumId w:val="0"/>
  </w:num>
  <w:num w:numId="4">
    <w:abstractNumId w:val="0"/>
  </w:num>
  <w:num w:numId="5">
    <w:abstractNumId w:val="1"/>
    <w:lvlOverride w:ilvl="0">
      <w:startOverride w:val="1"/>
    </w:lvlOverride>
  </w:num>
  <w:num w:numId="6">
    <w:abstractNumId w:val="0"/>
  </w:num>
</w:numbering>
</file>

<file path=word/styles.xml><?xml version="1.0" encoding="utf-8"?>
<w:styles xmlns:w="http://schemas.openxmlformats.org/wordprocessingml/2006/main">
  <w:docDefaults>
    <w:rPrDefault>
      <w:rPr>
        <w:rFonts w:ascii="Calibri" w:hAnsi="Calibri" w:eastAsia="Calibri" w:cs="Calibri"/>
        <w:sz w:val="22"/>
        <w:szCs w:val="22"/>
        <w:lang w:val="en-US"/>
      </w:rPr>
    </w:rPrDefault>
    <w:pPrDefault>
      <w:pPr>
        <w:spacing w:after="160" w:line="259" w:lineRule="auto"/>
      </w:pPr>
    </w:pPrDefault>
  </w:docDefaults>
  <w:style w:type="paragraph" w:default="1" w:styleId="Normal">
    <w:name w:val="Normal"/>
    <w:qFormat/>
  </w:style>
  <w:style w:type="paragraph" w:styleId="Heading1">
    <w:name w:val="heading 1"/>
    <w:basedOn w:val="Normal"/>
    <w:next w:val="Normal"/>
    <w:qFormat/>
    <w:pPr>
      <w:keepNext/>
      <w:spacing w:before="360" w:after="120"/>
      <w:outlineLvl w:val="0"/>
    </w:pPr>
    <w:rPr>
      <w:b/>
      <w:bCs/>
      <w:sz w:val="32"/>
      <w:szCs w:val="32"/>
    </w:rPr>
  </w:style>
  <w:style w:type="paragraph" w:styleId="Heading2">
    <w:name w:val="heading 2"/>
    <w:basedOn w:val="Normal"/>
    <w:next w:val="Normal"/>
    <w:qFormat/>
    <w:pPr>
      <w:keepNext/>
      <w:spacing w:before="280" w:after="100"/>
      <w:outlineLvl w:val="1"/>
    </w:pPr>
    <w:rPr>
      <w:b/>
      <w:bCs/>
      <w:sz w:val="26"/>
      <w:szCs w:val="26"/>
    </w:rPr>
  </w:style>
  <w:style w:type="paragraph" w:styleId="Heading3">
    <w:name w:val="heading 3"/>
    <w:basedOn w:val="Normal"/>
    <w:next w:val="Normal"/>
    <w:qFormat/>
    <w:pPr>
      <w:keepNext/>
      <w:spacing w:before="240" w:after="80"/>
      <w:outlineLvl w:val="2"/>
    </w:pPr>
    <w:rPr>
      <w:b/>
      <w:bCs/>
      <w:sz w:val="24"/>
      <w:szCs w:val="24"/>
    </w:rPr>
  </w:style>
  <w:style w:type="paragraph" w:styleId="Heading4">
    <w:name w:val="heading 4"/>
    <w:basedOn w:val="Normal"/>
    <w:next w:val="Normal"/>
    <w:qFormat/>
    <w:pPr>
      <w:keepNext/>
      <w:outlineLvl w:val="3"/>
    </w:pPr>
    <w:rPr>
      <w:b/>
      <w:bCs/>
      <w:sz w:val="22"/>
      <w:szCs w:val="22"/>
    </w:rPr>
  </w:style>
  <w:style w:type="paragraph" w:styleId="Heading5">
    <w:name w:val="heading 5"/>
    <w:basedOn w:val="Normal"/>
    <w:next w:val="Normal"/>
    <w:qFormat/>
    <w:pPr>
      <w:keepNext/>
      <w:outlineLvl w:val="4"/>
    </w:pPr>
    <w:rPr>
      <w:b/>
      <w:bCs/>
      <w:sz w:val="22"/>
      <w:szCs w:val="22"/>
    </w:rPr>
  </w:style>
  <w:style w:type="paragraph" w:styleId="Heading6">
    <w:name w:val="heading 6"/>
    <w:basedOn w:val="Normal"/>
    <w:next w:val="Normal"/>
    <w:qFormat/>
    <w:pPr>
      <w:keepNext/>
      <w:outlineLvl w:val="5"/>
    </w:pPr>
    <w:rPr>
      <w:i/>
      <w:iCs/>
      <w:sz w:val="22"/>
      <w:szCs w:val="22"/>
    </w:rPr>
  </w:style>
  <w:style w:type="paragraph" w:styleId="Title">
    <w:name w:val="Title"/>
    <w:basedOn w:val="Normal"/>
    <w:next w:val="Normal"/>
    <w:qFormat/>
    <w:pPr>
      <w:spacing w:after="80"/>
      <w:contextualSpacing/>
    </w:pPr>
    <w:rPr>
      <w:sz w:val="56"/>
      <w:szCs w:val="56"/>
    </w:rPr>
  </w:style>
  <w:style w:type="paragraph" w:styleId="Quote">
    <w:name w:val="Quote"/>
    <w:basedOn w:val="Normal"/>
    <w:qFormat/>
    <w:pPr>
      <w:ind w:left="720" w:right="720"/>
      <w:pBdr>
        <w:left w:val="single" w:sz="12" w:space="8" w:color="A0A0A0"/>
      </w:pBdr>
    </w:pPr>
    <w:rPr>
      <w:i/>
      <w:iCs/>
      <w:color w:val="404040"/>
    </w:rPr>
  </w:style>
  <w:style w:type="paragraph" w:styleId="Code">
    <w:name w:val="Code"/>
    <w:basedOn w:val="Normal"/>
    <w:link w:val="CodeChar"/>
    <w:pPr>
      <w:spacing w:after="0" w:line="240" w:lineRule="auto"/>
      <w:contextualSpacing/>
      <w:shd w:val="clear" w:color="auto" w:fill="F5F5F5"/>
    </w:pPr>
    <w:rPr>
      <w:rFonts w:ascii="Consolas" w:hAnsi="Consolas" w:eastAsia="Consolas" w:cs="Consolas"/>
      <w:sz w:val="20"/>
      <w:szCs w:val="20"/>
    </w:rPr>
  </w:style>
  <w:style w:type="character" w:styleId="CodeChar">
    <w:name w:val="Code Char"/>
    <w:link w:val="Code"/>
    <w:rPr>
      <w:rFonts w:ascii="Consolas" w:hAnsi="Consolas" w:eastAsia="Consolas" w:cs="Consolas"/>
      <w:sz w:val="20"/>
      <w:szCs w:val="20"/>
      <w:shd w:val="clear" w:color="auto" w:fill="F5F5F5"/>
    </w:rPr>
  </w:style>
  <w:style w:type="paragraph" w:styleId="ListParagraph">
    <w:name w:val="List Paragraph"/>
    <w:basedOn w:val="Normal"/>
    <w:qFormat/>
    <w:pPr>
      <w:ind w:left="720"/>
      <w:contextualSpacing/>
    </w:pPr>
  </w:style>
  <w:style w:type="character" w:styleId="Hyperlink">
    <w:name w:val="Hyperlink"/>
    <w:rPr>
      <w:color w:val="0563C1"/>
      <w:u w:val="single"/>
    </w:rPr>
  </w:style>
  <w:style w:type="paragraph" w:styleId="CommentText">
    <w:name w:val="annotation text"/>
    <w:basedOn w:val="Normal"/>
    <w:link w:val="CommentTextChar"/>
    <w:pPr>
      <w:spacing w:line="240" w:lineRule="auto"/>
    </w:pPr>
    <w:rPr>
      <w:sz w:val="20"/>
      <w:szCs w:val="20"/>
    </w:rPr>
  </w:style>
  <w:style w:type="character" w:styleId="CommentReference">
    <w:name w:val="annotation reference"/>
    <w:rPr>
      <w:sz w:val="16"/>
      <w:szCs w:val="16"/>
    </w:rPr>
  </w:style>
  <w:style w:type="table" w:default="1" w:styleId="TableNormal">
    <w:name w:val="Normal Table"/>
    <w:tblPr>
      <w:tblInd w:w="0" w:type="dxa"/>
      <w:tblCellMar>
        <w:top w:w="0" w:type="dxa"/>
        <w:left w:w="108" w:type="dxa"/>
        <w:bottom w:w="0" w:type="dxa"/>
        <w:right w:w="108" w:type="dxa"/>
      </w:tblCellMar>
    </w:tbl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image" Target="media/image1.png"/></Relationships>
</file>

<file path=docProps/app.xml><?xml version="1.0" encoding="utf-8"?>
<Properties xmlns="http://schemas.openxmlformats.org/officeDocument/2006/extended-properties">
  <Application>Claude Docs</Application>
  <AppVersion>2.0000</AppVersion>
</Properties>
</file>

<file path=docProps/core.xml><?xml version="1.0" encoding="utf-8"?>
<cp:coreProperties xmlns:cp="http://schemas.openxmlformats.org/package/2006/metadata/core-properties" xmlns:dc="http://purl.org/dc/elements/1.1/" xmlns:dcterms="http://purl.org/dc/terms/" xmlns:xsi="http://www.w3.org/2001/XMLSchema-instance">
  <dc:title>BY+  Vision de la suite d'applications</dc:title>
  <dc:description>Claude Docs node/f64d6780-2d2d@69 docx-w8</dc:description>
  <cp:revision>69</cp:revision>
</cp:coreProperties>
</file>