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BY+ · Console NetByUs : architecture, données et fonctionnement</w:t>
      </w:r>
    </w:p>
    <w:p>
      <w:pPr/>
      <w:r>
        <w:t xml:space="preserve">U</w:t>
      </w:r>
      <w:r>
        <w:t xml:space="preserve">Sep 30, 2026</w:t>
      </w:r>
      <w:r>
        <w:t xml:space="preserve"> · </w:t>
      </w:r>
      <w:r>
        <w:t xml:space="preserve">@ADAM Chacour</w:t>
      </w:r>
    </w:p>
    <w:p>
      <w:pPr>
        <w:pStyle w:val="Heading2"/>
      </w:pPr>
      <w:r>
        <w:t xml:space="preserve">Résumé</w:t>
      </w:r>
    </w:p>
    <w:p>
      <w:pPr/>
      <w:r>
        <w:t xml:space="preserve">La console NetByUs est le back-office central de BY+ : elle vend des formules, suit les abonnements, active les modules chez chaque client et traite le support, sans jamais voir les données métier des clients. Ce rapport décrit son architecture, ses tables et son comportement.</w:t>
      </w:r>
    </w:p>
    <w:p>
      <w:pPr/>
      <w:r>
        <w:t xml:space="preserve">Le modèle commercial retenu suit celui d'Odoo : le client ne choisit plus une offre fixe, il choisit une </w:t>
      </w:r>
      <w:r>
        <w:rPr>
          <w:b/>
        </w:rPr>
        <w:t xml:space="preserve">formule</w:t>
      </w:r>
      <w:r>
        <w:t xml:space="preserve"> (Gratuit, Standard, Entreprise), un nombre d'</w:t>
      </w:r>
      <w:r>
        <w:rPr>
          <w:b/>
        </w:rPr>
        <w:t xml:space="preserve">utilisateurs</w:t>
      </w:r>
      <w:r>
        <w:t xml:space="preserve"> (complets ou légers), puis coche librement ses </w:t>
      </w:r>
      <w:r>
        <w:rPr>
          <w:b/>
        </w:rPr>
        <w:t xml:space="preserve">modules</w:t>
      </w:r>
      <w:r>
        <w:t xml:space="preserve">. </w:t>
      </w:r>
      <w:r>
        <w:rPr>
          <w:rStyle w:val="CodeChar"/>
        </w:rPr>
        <w:t xml:space="preserve">config/offers.php</w:t>
      </w:r>
      <w:r>
        <w:t xml:space="preserve"> disparaît.</w:t>
      </w:r>
    </w:p>
    <w:p>
      <w:pPr/>
      <w:r>
        <w:t xml:space="preserve">Les décisions structurantes :</w:t>
      </w:r>
    </w:p>
    <w:p>
      <w:pPr>
        <w:pStyle w:val="ListParagraph"/>
        <w:numPr>
          <w:ilvl w:val="0"/>
          <w:numId w:val="2"/>
        </w:numPr>
      </w:pPr>
      <w:r>
        <w:rPr>
          <w:b/>
        </w:rPr>
        <w:t xml:space="preserve">La console est une plateforme, pas un tenant.</w:t>
      </w:r>
      <w:r>
        <w:t xml:space="preserve"> Elle vit dans </w:t>
      </w:r>
      <w:r>
        <w:rPr>
          <w:rStyle w:val="CodeChar"/>
        </w:rPr>
        <w:t xml:space="preserve">api/platform/</w:t>
      </w:r>
      <w:r>
        <w:t xml:space="preserve">, sur </w:t>
      </w:r>
      <w:r>
        <w:rPr>
          <w:rStyle w:val="CodeChar"/>
        </w:rPr>
        <w:t xml:space="preserve">admin.byplus.io</w:t>
      </w:r>
      <w:r>
        <w:t xml:space="preserve"> et la base centrale. Le tenant </w:t>
      </w:r>
      <w:r>
        <w:rPr>
          <w:rStyle w:val="CodeChar"/>
        </w:rPr>
        <w:t xml:space="preserve">netbyus</w:t>
      </w:r>
      <w:r>
        <w:t xml:space="preserve"> redevient un client ordinaire.</w:t>
      </w:r>
    </w:p>
    <w:p>
      <w:pPr>
        <w:pStyle w:val="ListParagraph"/>
        <w:numPr>
          <w:ilvl w:val="0"/>
          <w:numId w:val="2"/>
        </w:numPr>
      </w:pPr>
      <w:r>
        <w:rPr>
          <w:b/>
        </w:rPr>
        <w:t xml:space="preserve">L'abonnement est la source de vérité.</w:t>
      </w:r>
      <w:r>
        <w:t xml:space="preserve"> Il décrit un état voulu (formule, capacités, quotas, modules) ; un réconciliateur amène chaque client vers cet état.</w:t>
      </w:r>
    </w:p>
    <w:p>
      <w:pPr>
        <w:pStyle w:val="ListParagraph"/>
        <w:numPr>
          <w:ilvl w:val="0"/>
          <w:numId w:val="2"/>
        </w:numPr>
      </w:pPr>
      <w:r>
        <w:rPr>
          <w:b/>
        </w:rPr>
        <w:t xml:space="preserve">Trois notions commerciales séparées :</w:t>
      </w:r>
      <w:r>
        <w:t xml:space="preserve"> les modules choisis, les capacités liées à la formule, les types d'utilisateurs (complet ou léger).</w:t>
      </w:r>
    </w:p>
    <w:p>
      <w:pPr>
        <w:pStyle w:val="ListParagraph"/>
        <w:numPr>
          <w:ilvl w:val="0"/>
          <w:numId w:val="2"/>
        </w:numPr>
      </w:pPr>
      <w:r>
        <w:rPr>
          <w:b/>
        </w:rPr>
        <w:t xml:space="preserve">Un seul calculateur de prix</w:t>
      </w:r>
      <w:r>
        <w:t xml:space="preserve">, côté serveur, utilisé par la page de tarifs, l'espace client, la console et le paiement.</w:t>
      </w:r>
    </w:p>
    <w:p>
      <w:pPr>
        <w:pStyle w:val="ListParagraph"/>
        <w:numPr>
          <w:ilvl w:val="0"/>
          <w:numId w:val="2"/>
        </w:numPr>
      </w:pPr>
      <w:r>
        <w:rPr>
          <w:b/>
        </w:rPr>
        <w:t xml:space="preserve">Les prix sont figés dans l'abonnement</w:t>
      </w:r>
      <w:r>
        <w:t xml:space="preserve"> au moment de l'achat ; une nouvelle grille ne s'applique qu'au renouvellement.</w:t>
      </w:r>
    </w:p>
    <w:p>
      <w:pPr>
        <w:pStyle w:val="ListParagraph"/>
        <w:numPr>
          <w:ilvl w:val="0"/>
          <w:numId w:val="2"/>
        </w:numPr>
      </w:pPr>
      <w:r>
        <w:rPr>
          <w:b/>
        </w:rPr>
        <w:t xml:space="preserve">La base centrale définit ce qui se vend :</w:t>
      </w:r>
      <w:r>
        <w:t xml:space="preserve"> formules, prix, fiches commerciales, options, promotions.</w:t>
      </w:r>
    </w:p>
    <w:p>
      <w:pPr>
        <w:pStyle w:val="Heading2"/>
      </w:pPr>
      <w:r>
        <w:t xml:space="preserve">Périmètre</w:t>
      </w:r>
    </w:p>
    <w:p>
      <w:pPr/>
      <w:r>
        <w:t xml:space="preserve">Ce rapport ne couvre que la console NetByUs ; le socle et les modules sont hors périmètre. La console communique ses décisions par un seul point : l'état publié dans Redis après chaque réconciliation.</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Élément</w:t>
            </w:r>
          </w:p>
        </w:tc>
        <w:tc>
          <w:tcPr>
            <w:tcW w:w="4680" w:type="dxa"/>
            <w:shd w:val="clear" w:color="auto" w:fill="F2F2F2"/>
          </w:tcPr>
          <w:p>
            <w:pPr/>
            <w:r>
              <w:t xml:space="preserve">Console NetByUs</w:t>
            </w:r>
          </w:p>
        </w:tc>
      </w:tr>
      <w:tr>
        <w:tc>
          <w:tcPr>
            <w:tcW w:w="4680" w:type="dxa"/>
          </w:tcPr>
          <w:p>
            <w:pPr/>
            <w:r>
              <w:t xml:space="preserve">Code</w:t>
            </w:r>
          </w:p>
        </w:tc>
        <w:tc>
          <w:tcPr>
            <w:tcW w:w="4680" w:type="dxa"/>
          </w:tcPr>
          <w:p>
            <w:pPr/>
            <w:r>
              <w:rPr>
                <w:rStyle w:val="CodeChar"/>
              </w:rPr>
              <w:t xml:space="preserve">api/platform/</w:t>
            </w:r>
            <w:r>
              <w:t xml:space="preserve"> (API), </w:t>
            </w:r>
            <w:r>
              <w:rPr>
                <w:rStyle w:val="CodeChar"/>
              </w:rPr>
              <w:t xml:space="preserve">console/</w:t>
            </w:r>
            <w:r>
              <w:t xml:space="preserve"> (interface)</w:t>
            </w:r>
          </w:p>
        </w:tc>
      </w:tr>
      <w:tr>
        <w:tc>
          <w:tcPr>
            <w:tcW w:w="4680" w:type="dxa"/>
          </w:tcPr>
          <w:p>
            <w:pPr/>
            <w:r>
              <w:t xml:space="preserve">Domaine</w:t>
            </w:r>
          </w:p>
        </w:tc>
        <w:tc>
          <w:tcPr>
            <w:tcW w:w="4680" w:type="dxa"/>
          </w:tcPr>
          <w:p>
            <w:pPr/>
            <w:r>
              <w:rPr>
                <w:rStyle w:val="CodeChar"/>
              </w:rPr>
              <w:t xml:space="preserve">admin.byplus.io</w:t>
            </w:r>
          </w:p>
        </w:tc>
      </w:tr>
      <w:tr>
        <w:tc>
          <w:tcPr>
            <w:tcW w:w="4680" w:type="dxa"/>
          </w:tcPr>
          <w:p>
            <w:pPr/>
            <w:r>
              <w:t xml:space="preserve">Base</w:t>
            </w:r>
          </w:p>
        </w:tc>
        <w:tc>
          <w:tcPr>
            <w:tcW w:w="4680" w:type="dxa"/>
          </w:tcPr>
          <w:p>
            <w:pPr/>
            <w:r>
              <w:t xml:space="preserve">Base centrale</w:t>
            </w:r>
          </w:p>
        </w:tc>
      </w:tr>
      <w:tr>
        <w:tc>
          <w:tcPr>
            <w:tcW w:w="4680" w:type="dxa"/>
          </w:tcPr>
          <w:p>
            <w:pPr/>
            <w:r>
              <w:t xml:space="preserve">Utilisateurs</w:t>
            </w:r>
          </w:p>
        </w:tc>
        <w:tc>
          <w:tcPr>
            <w:tcW w:w="4680" w:type="dxa"/>
          </w:tcPr>
          <w:p>
            <w:pPr/>
            <w:r>
              <w:t xml:space="preserve">Équipes NetByUs uniquement</w:t>
            </w:r>
          </w:p>
        </w:tc>
      </w:tr>
      <w:tr>
        <w:tc>
          <w:tcPr>
            <w:tcW w:w="4680" w:type="dxa"/>
          </w:tcPr>
          <w:p>
            <w:pPr/>
            <w:r>
              <w:t xml:space="preserve">Voit</w:t>
            </w:r>
          </w:p>
        </w:tc>
        <w:tc>
          <w:tcPr>
            <w:tcW w:w="4680" w:type="dxa"/>
          </w:tcPr>
          <w:p>
            <w:pPr/>
            <w:r>
              <w:t xml:space="preserve">Clients, abonnements, commandes, factures, tickets</w:t>
            </w:r>
          </w:p>
        </w:tc>
      </w:tr>
      <w:tr>
        <w:tc>
          <w:tcPr>
            <w:tcW w:w="4680" w:type="dxa"/>
          </w:tcPr>
          <w:p>
            <w:pPr/>
            <w:r>
              <w:t xml:space="preserve">Ne voit jamais</w:t>
            </w:r>
          </w:p>
        </w:tc>
        <w:tc>
          <w:tcPr>
            <w:tcW w:w="4680" w:type="dxa"/>
          </w:tcPr>
          <w:p>
            <w:pPr/>
            <w:r>
              <w:t xml:space="preserve">Les données métier des clients (ventes, salariés…)</w:t>
            </w:r>
          </w:p>
        </w:tc>
      </w:tr>
    </w:tbl>
    <w:p>
      <w:pPr>
        <w:pStyle w:val="Heading2"/>
      </w:pPr>
      <w:r>
        <w:t xml:space="preserve">Modèle commercial</w:t>
      </w:r>
    </w:p>
    <w:p>
      <w:pPr/>
      <w:r>
        <w:t xml:space="preserve">Le client paie une formule par utilisateur et par mois ; les modules sont inclus selon la formule, les capacités avancées aussi. Les prix sont à fixer par le commercial, en F CFA.</w:t>
      </w:r>
    </w:p>
    <w:p>
      <w:pPr>
        <w:pStyle w:val="Heading3"/>
      </w:pPr>
      <w:r>
        <w:t xml:space="preserve">Formules</w:t>
      </w:r>
    </w:p>
    <w:tbl>
      <w:tblPr>
        <w:tblStyle w:val="TableGrid"/>
        <w:tblW w:w="0" w:type="auto"/>
        <w:tblLayout w:type="fixed"/>
        <w:tblLook w:val="04A0" w:firstRow="1" w:lastRow="0" w:firstColumn="0" w:lastColumn="0" w:noHBand="0" w:noVBand="1"/>
      </w:tblPr>
      <w:tblGrid>
        <w:gridCol w:w="1872"/>
        <w:gridCol w:w="1872"/>
        <w:gridCol w:w="1872"/>
        <w:gridCol w:w="1872"/>
        <w:gridCol w:w="1872"/>
      </w:tblGrid>
      <w:tr>
        <w:trPr>
          <w:tblHeader/>
        </w:trPr>
        <w:tc>
          <w:tcPr>
            <w:tcW w:w="1872" w:type="dxa"/>
            <w:shd w:val="clear" w:color="auto" w:fill="F2F2F2"/>
          </w:tcPr>
          <w:p>
            <w:pPr/>
            <w:r>
              <w:t xml:space="preserve">Formule</w:t>
            </w:r>
          </w:p>
        </w:tc>
        <w:tc>
          <w:tcPr>
            <w:tcW w:w="1872" w:type="dxa"/>
            <w:shd w:val="clear" w:color="auto" w:fill="F2F2F2"/>
          </w:tcPr>
          <w:p>
            <w:pPr/>
            <w:r>
              <w:t xml:space="preserve">Modules</w:t>
            </w:r>
          </w:p>
        </w:tc>
        <w:tc>
          <w:tcPr>
            <w:tcW w:w="1872" w:type="dxa"/>
            <w:shd w:val="clear" w:color="auto" w:fill="F2F2F2"/>
          </w:tcPr>
          <w:p>
            <w:pPr/>
            <w:r>
              <w:t xml:space="preserve">Capacités du socle</w:t>
            </w:r>
          </w:p>
        </w:tc>
        <w:tc>
          <w:tcPr>
            <w:tcW w:w="1872" w:type="dxa"/>
            <w:shd w:val="clear" w:color="auto" w:fill="F2F2F2"/>
          </w:tcPr>
          <w:p>
            <w:pPr/>
            <w:r>
              <w:t xml:space="preserve">Utilisateurs</w:t>
            </w:r>
          </w:p>
        </w:tc>
        <w:tc>
          <w:tcPr>
            <w:tcW w:w="1872" w:type="dxa"/>
            <w:shd w:val="clear" w:color="auto" w:fill="F2F2F2"/>
          </w:tcPr>
          <w:p>
            <w:pPr/>
            <w:r>
              <w:t xml:space="preserve">Prix</w:t>
            </w:r>
          </w:p>
        </w:tc>
      </w:tr>
      <w:tr>
        <w:tc>
          <w:tcPr>
            <w:tcW w:w="1872" w:type="dxa"/>
          </w:tcPr>
          <w:p>
            <w:pPr/>
            <w:r>
              <w:t xml:space="preserve">Gratuit</w:t>
            </w:r>
          </w:p>
        </w:tc>
        <w:tc>
          <w:tcPr>
            <w:tcW w:w="1872" w:type="dxa"/>
          </w:tcPr>
          <w:p>
            <w:pPr/>
            <w:r>
              <w:t xml:space="preserve">1 module éligible (modules requis et ponts offerts)</w:t>
            </w:r>
          </w:p>
        </w:tc>
        <w:tc>
          <w:tcPr>
            <w:tcW w:w="1872" w:type="dxa"/>
          </w:tcPr>
          <w:p>
            <w:pPr/>
            <w:r>
              <w:t xml:space="preserve">Base</w:t>
            </w:r>
          </w:p>
        </w:tc>
        <w:tc>
          <w:tcPr>
            <w:tcW w:w="1872" w:type="dxa"/>
          </w:tcPr>
          <w:p>
            <w:pPr/>
            <w:r>
              <w:t xml:space="preserve">Illimités</w:t>
            </w:r>
          </w:p>
        </w:tc>
        <w:tc>
          <w:tcPr>
            <w:tcW w:w="1872" w:type="dxa"/>
          </w:tcPr>
          <w:p>
            <w:pPr/>
            <w:r>
              <w:t xml:space="preserve">0 F</w:t>
            </w:r>
          </w:p>
        </w:tc>
      </w:tr>
      <w:tr>
        <w:tc>
          <w:tcPr>
            <w:tcW w:w="1872" w:type="dxa"/>
          </w:tcPr>
          <w:p>
            <w:pPr/>
            <w:r>
              <w:t xml:space="preserve">Standard</w:t>
            </w:r>
          </w:p>
        </w:tc>
        <w:tc>
          <w:tcPr>
            <w:tcW w:w="1872" w:type="dxa"/>
          </w:tcPr>
          <w:p>
            <w:pPr/>
            <w:r>
              <w:t xml:space="preserve">Tous les modules publiés</w:t>
            </w:r>
          </w:p>
        </w:tc>
        <w:tc>
          <w:tcPr>
            <w:tcW w:w="1872" w:type="dxa"/>
          </w:tcPr>
          <w:p>
            <w:pPr/>
            <w:r>
              <w:t xml:space="preserve">Base</w:t>
            </w:r>
          </w:p>
        </w:tc>
        <w:tc>
          <w:tcPr>
            <w:tcW w:w="1872" w:type="dxa"/>
          </w:tcPr>
          <w:p>
            <w:pPr/>
            <w:r>
              <w:t xml:space="preserve">Par utilisateur</w:t>
            </w:r>
          </w:p>
        </w:tc>
        <w:tc>
          <w:tcPr>
            <w:tcW w:w="1872" w:type="dxa"/>
          </w:tcPr>
          <w:p>
            <w:pPr/>
            <w:r>
              <w:t xml:space="preserve">À fixer / utilisateur / mois</w:t>
            </w:r>
          </w:p>
        </w:tc>
      </w:tr>
      <w:tr>
        <w:tc>
          <w:tcPr>
            <w:tcW w:w="1872" w:type="dxa"/>
          </w:tcPr>
          <w:p>
            <w:pPr/>
            <w:r>
              <w:t xml:space="preserve">Entreprise</w:t>
            </w:r>
          </w:p>
        </w:tc>
        <w:tc>
          <w:tcPr>
            <w:tcW w:w="1872" w:type="dxa"/>
          </w:tcPr>
          <w:p>
            <w:pPr/>
            <w:r>
              <w:t xml:space="preserve">Tous les modules publiés</w:t>
            </w:r>
          </w:p>
        </w:tc>
        <w:tc>
          <w:tcPr>
            <w:tcW w:w="1872" w:type="dxa"/>
          </w:tcPr>
          <w:p>
            <w:pPr/>
            <w:r>
              <w:t xml:space="preserve">Base + multi-sociétés, API et webhooks, personnalisation avancée, extensions client</w:t>
            </w:r>
          </w:p>
        </w:tc>
        <w:tc>
          <w:tcPr>
            <w:tcW w:w="1872" w:type="dxa"/>
          </w:tcPr>
          <w:p>
            <w:pPr/>
            <w:r>
              <w:t xml:space="preserve">Par utilisateur</w:t>
            </w:r>
          </w:p>
        </w:tc>
        <w:tc>
          <w:tcPr>
            <w:tcW w:w="1872" w:type="dxa"/>
          </w:tcPr>
          <w:p>
            <w:pPr/>
            <w:r>
              <w:t xml:space="preserve">À fixer / utilisateur / mois</w:t>
            </w:r>
          </w:p>
        </w:tc>
      </w:tr>
    </w:tbl>
    <w:p>
      <w:pPr>
        <w:pStyle w:val="Heading3"/>
      </w:pPr>
      <w:r>
        <w:t xml:space="preserve">Capacités</w:t>
      </w:r>
    </w:p>
    <w:p>
      <w:pPr/>
      <w:r>
        <w:t xml:space="preserve">Une capacité est une fonctionnalité avancée réservée à certaines formules. La liste des capacités est fixée par l'équipe technique ; la console décide quelle formule donne quelle capacité.</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Clé</w:t>
            </w:r>
          </w:p>
        </w:tc>
        <w:tc>
          <w:tcPr>
            <w:tcW w:w="4680" w:type="dxa"/>
            <w:shd w:val="clear" w:color="auto" w:fill="F2F2F2"/>
          </w:tcPr>
          <w:p>
            <w:pPr/>
            <w:r>
              <w:t xml:space="preserve">Ce qu'elle débloque</w:t>
            </w:r>
          </w:p>
        </w:tc>
      </w:tr>
      <w:tr>
        <w:tc>
          <w:tcPr>
            <w:tcW w:w="4680" w:type="dxa"/>
          </w:tcPr>
          <w:p>
            <w:pPr/>
            <w:r>
              <w:rPr>
                <w:rStyle w:val="CodeChar"/>
              </w:rPr>
              <w:t xml:space="preserve">multi_societes</w:t>
            </w:r>
          </w:p>
        </w:tc>
        <w:tc>
          <w:tcPr>
            <w:tcW w:w="4680" w:type="dxa"/>
          </w:tcPr>
          <w:p>
            <w:pPr/>
            <w:r>
              <w:t xml:space="preserve">Plus d'une société ou établissement</w:t>
            </w:r>
          </w:p>
        </w:tc>
      </w:tr>
      <w:tr>
        <w:tc>
          <w:tcPr>
            <w:tcW w:w="4680" w:type="dxa"/>
          </w:tcPr>
          <w:p>
            <w:pPr/>
            <w:r>
              <w:rPr>
                <w:rStyle w:val="CodeChar"/>
              </w:rPr>
              <w:t xml:space="preserve">api_externe</w:t>
            </w:r>
          </w:p>
        </w:tc>
        <w:tc>
          <w:tcPr>
            <w:tcW w:w="4680" w:type="dxa"/>
          </w:tcPr>
          <w:p>
            <w:pPr/>
            <w:r>
              <w:t xml:space="preserve">Clés API et webhooks sortants</w:t>
            </w:r>
          </w:p>
        </w:tc>
      </w:tr>
      <w:tr>
        <w:tc>
          <w:tcPr>
            <w:tcW w:w="4680" w:type="dxa"/>
          </w:tcPr>
          <w:p>
            <w:pPr/>
            <w:r>
              <w:rPr>
                <w:rStyle w:val="CodeChar"/>
              </w:rPr>
              <w:t xml:space="preserve">personnalisation_avancee</w:t>
            </w:r>
          </w:p>
        </w:tc>
        <w:tc>
          <w:tcPr>
            <w:tcW w:w="4680" w:type="dxa"/>
          </w:tcPr>
          <w:p>
            <w:pPr/>
            <w:r>
              <w:t xml:space="preserve">Champs personnalisés, modèles de documents, circuits de validation sur mesure</w:t>
            </w:r>
          </w:p>
        </w:tc>
      </w:tr>
      <w:tr>
        <w:tc>
          <w:tcPr>
            <w:tcW w:w="4680" w:type="dxa"/>
          </w:tcPr>
          <w:p>
            <w:pPr/>
            <w:r>
              <w:rPr>
                <w:rStyle w:val="CodeChar"/>
              </w:rPr>
              <w:t xml:space="preserve">extensions_client</w:t>
            </w:r>
          </w:p>
        </w:tc>
        <w:tc>
          <w:tcPr>
            <w:tcW w:w="4680" w:type="dxa"/>
          </w:tcPr>
          <w:p>
            <w:pPr/>
            <w:r>
              <w:t xml:space="preserve">Activer une extension propre au client</w:t>
            </w:r>
          </w:p>
        </w:tc>
      </w:tr>
    </w:tbl>
    <w:p>
      <w:pPr>
        <w:pStyle w:val="Heading3"/>
      </w:pPr>
      <w:r>
        <w:t xml:space="preserve">Types d'utilisateurs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Type</w:t>
            </w:r>
          </w:p>
        </w:tc>
        <w:tc>
          <w:tcPr>
            <w:tcW w:w="3120" w:type="dxa"/>
            <w:shd w:val="clear" w:color="auto" w:fill="F2F2F2"/>
          </w:tcPr>
          <w:p>
            <w:pPr/>
            <w:r>
              <w:t xml:space="preserve">Usage</w:t>
            </w:r>
          </w:p>
        </w:tc>
        <w:tc>
          <w:tcPr>
            <w:tcW w:w="3120" w:type="dxa"/>
            <w:shd w:val="clear" w:color="auto" w:fill="F2F2F2"/>
          </w:tcPr>
          <w:p>
            <w:pPr/>
            <w:r>
              <w:t xml:space="preserve">Facturation</w:t>
            </w:r>
          </w:p>
        </w:tc>
      </w:tr>
      <w:tr>
        <w:tc>
          <w:tcPr>
            <w:tcW w:w="3120" w:type="dxa"/>
          </w:tcPr>
          <w:p>
            <w:pPr/>
            <w:r>
              <w:t xml:space="preserve">Complet</w:t>
            </w:r>
          </w:p>
        </w:tc>
        <w:tc>
          <w:tcPr>
            <w:tcW w:w="3120" w:type="dxa"/>
          </w:tcPr>
          <w:p>
            <w:pPr/>
            <w:r>
              <w:t xml:space="preserve">Accès complet</w:t>
            </w:r>
          </w:p>
        </w:tc>
        <w:tc>
          <w:tcPr>
            <w:tcW w:w="3120" w:type="dxa"/>
          </w:tcPr>
          <w:p>
            <w:pPr/>
            <w:r>
              <w:t xml:space="preserve">Prix de la formule</w:t>
            </w:r>
          </w:p>
        </w:tc>
      </w:tr>
      <w:tr>
        <w:tc>
          <w:tcPr>
            <w:tcW w:w="3120" w:type="dxa"/>
          </w:tcPr>
          <w:p>
            <w:pPr/>
            <w:r>
              <w:t xml:space="preserve">Léger</w:t>
            </w:r>
          </w:p>
        </w:tc>
        <w:tc>
          <w:tcPr>
            <w:tcW w:w="3120" w:type="dxa"/>
          </w:tcPr>
          <w:p>
            <w:pPr/>
            <w:r>
              <w:t xml:space="preserve">Libre-service seulement : demander un congé, déposer une note de frais, pointer, consulter son bulletin</w:t>
            </w:r>
          </w:p>
        </w:tc>
        <w:tc>
          <w:tcPr>
            <w:tcW w:w="3120" w:type="dxa"/>
          </w:tcPr>
          <w:p>
            <w:pPr/>
            <w:r>
              <w:t xml:space="preserve">Petit prix fixe</w:t>
            </w:r>
          </w:p>
        </w:tc>
      </w:tr>
    </w:tbl>
    <w:p>
      <w:pPr>
        <w:pStyle w:val="Heading3"/>
      </w:pPr>
      <w:r>
        <w:t xml:space="preserve">Options et promotions</w:t>
      </w:r>
    </w:p>
    <w:p>
      <w:pPr>
        <w:pStyle w:val="ListParagraph"/>
        <w:numPr>
          <w:ilvl w:val="0"/>
          <w:numId w:val="3"/>
        </w:numPr>
      </w:pPr>
      <w:r>
        <w:rPr>
          <w:b/>
        </w:rPr>
        <w:t xml:space="preserve">Options</w:t>
      </w:r>
      <w:r>
        <w:t xml:space="preserve"> : suppléments facultatifs par quantité, pour les modules dont la valeur dépend d'une unité métier (caisse POS supplémentaire, porte Access, installation de la passerelle).</w:t>
      </w:r>
    </w:p>
    <w:p>
      <w:pPr>
        <w:pStyle w:val="ListParagraph"/>
        <w:numPr>
          <w:ilvl w:val="0"/>
          <w:numId w:val="3"/>
        </w:numPr>
      </w:pPr>
      <w:r>
        <w:rPr>
          <w:b/>
        </w:rPr>
        <w:t xml:space="preserve">Promotions</w:t>
      </w:r>
      <w:r>
        <w:t xml:space="preserve"> : un prix promotionnel avec dates de début et de fin, affiché avec le prix de référence barré ; ou un code promo.</w:t>
      </w:r>
    </w:p>
    <w:p>
      <w:pPr>
        <w:pStyle w:val="ListParagraph"/>
        <w:numPr>
          <w:ilvl w:val="0"/>
          <w:numId w:val="3"/>
        </w:numPr>
      </w:pPr>
      <w:r>
        <w:rPr>
          <w:b/>
        </w:rPr>
        <w:t xml:space="preserve">Remise annuelle</w:t>
      </w:r>
      <w:r>
        <w:t xml:space="preserve"> : un pourcentage appliqué au paiement à l'année.</w:t>
      </w:r>
    </w:p>
    <w:p>
      <w:pPr>
        <w:pStyle w:val="Heading3"/>
      </w:pPr>
      <w:r>
        <w:t xml:space="preserve">Règles de la formule Gratuite</w:t>
      </w:r>
    </w:p>
    <w:p>
      <w:pPr>
        <w:pStyle w:val="ListParagraph"/>
        <w:numPr>
          <w:ilvl w:val="0"/>
          <w:numId w:val="4"/>
        </w:numPr>
      </w:pPr>
      <w:r>
        <w:t xml:space="preserve">Les modules requis (Collaborateurs pour Paie, Catalogue et Contacts pour POS…) et les ponts ne comptent pas dans la limite d'un module.</w:t>
      </w:r>
    </w:p>
    <w:p>
      <w:pPr>
        <w:pStyle w:val="ListParagraph"/>
        <w:numPr>
          <w:ilvl w:val="0"/>
          <w:numId w:val="4"/>
        </w:numPr>
      </w:pPr>
      <w:r>
        <w:t xml:space="preserve">Seuls les modules marqués </w:t>
      </w:r>
      <w:r>
        <w:rPr>
          <w:rStyle w:val="CodeChar"/>
        </w:rPr>
        <w:t xml:space="preserve">eligible_gratuit</w:t>
      </w:r>
      <w:r>
        <w:t xml:space="preserve"> peuvent être choisis.</w:t>
      </w:r>
    </w:p>
    <w:p>
      <w:pPr>
        <w:pStyle w:val="ListParagraph"/>
        <w:numPr>
          <w:ilvl w:val="0"/>
          <w:numId w:val="4"/>
        </w:numPr>
      </w:pPr>
      <w:r>
        <w:t xml:space="preserve">Ajouter un deuxième module propose le passage en Standard.</w:t>
      </w:r>
    </w:p>
    <w:p>
      <w:pPr>
        <w:pStyle w:val="Heading2"/>
      </w:pPr>
      <w:r>
        <w:t xml:space="preserve">Architecture de la console</w:t>
      </w:r>
    </w:p>
    <w:p>
      <w:pPr/>
      <w:r>
        <w:t xml:space="preserve">La console est découpée en domaines : un dossier par domaine, une vitrine </w:t>
      </w:r>
      <w:r>
        <w:rPr>
          <w:rStyle w:val="CodeChar"/>
        </w:rPr>
        <w:t xml:space="preserve">Public/</w:t>
      </w:r>
      <w:r>
        <w:t xml:space="preserve">, des actions, et Deptrac pour les frontières.</w:t>
      </w:r>
    </w:p>
    <w:p>
      <w:pPr>
        <w:pStyle w:val="Code"/>
      </w:pPr>
      <w:r>
        <w:t xml:space="preserve">api/platform/</w:t>
        <w:br/>
        <w:t xml:space="preserve">├── Staff/          comptes NetByUs, rôles internes, 2FA</w:t>
        <w:br/>
        <w:t xml:space="preserve">├── Tenants/        clients, domaines, bases, provisionnement</w:t>
        <w:br/>
        <w:t xml:space="preserve">├── Catalog/        fiches commerciales des modules, formules, capacités par formule,</w:t>
        <w:br/>
        <w:t xml:space="preserve">│                   prix utilisateur léger, options, promotions, CalculateurPrix</w:t>
        <w:br/>
        <w:t xml:space="preserve">├── Subscriptions/  abonnements, modules choisis, quotas, cycle de vie</w:t>
        <w:br/>
        <w:t xml:space="preserve">├── Orders/         paniers, commandes, validations manuelles</w:t>
        <w:br/>
        <w:t xml:space="preserve">├── Billing/        factures NetByUs, paiements, prorata, passerelles de paiement</w:t>
        <w:br/>
        <w:t xml:space="preserve">├── Activation/     état voulu, réconciliation, registre central</w:t>
        <w:br/>
        <w:t xml:space="preserve">├── Support/        tickets, messages, pièces jointes</w:t>
        <w:br/>
        <w:t xml:space="preserve">├── Access/         accès support chez un client (consentement, durée)</w:t>
        <w:br/>
        <w:t xml:space="preserve">├── Integrations/   jetons de licence (JWT), webhooks sortants</w:t>
        <w:br/>
        <w:t xml:space="preserve">├── Operations/     migrations multi-bases, sauvegardes, santé</w:t>
        <w:br/>
        <w:t xml:space="preserve">├── Announcements/  annonces, maintenances planifiées</w:t>
        <w:br/>
        <w:t xml:space="preserve">└── Audit/          journal central de toutes les actions</w:t>
      </w:r>
    </w:p>
    <w:p>
      <w:pPr/>
      <w:r>
        <w:t xml:space="preserve">Chaque domaine a l'anatomie d'un module : </w:t>
      </w:r>
      <w:r>
        <w:rPr>
          <w:rStyle w:val="CodeChar"/>
        </w:rPr>
        <w:t xml:space="preserve">Public/Contracts</w:t>
      </w:r>
      <w:r>
        <w:t xml:space="preserve">, </w:t>
      </w:r>
      <w:r>
        <w:rPr>
          <w:rStyle w:val="CodeChar"/>
        </w:rPr>
        <w:t xml:space="preserve">Public/Events</w:t>
      </w:r>
      <w:r>
        <w:t xml:space="preserve">, </w:t>
      </w:r>
      <w:r>
        <w:rPr>
          <w:rStyle w:val="CodeChar"/>
        </w:rPr>
        <w:t xml:space="preserve">Actions/</w:t>
      </w:r>
      <w:r>
        <w:t xml:space="preserve">, </w:t>
      </w:r>
      <w:r>
        <w:rPr>
          <w:rStyle w:val="CodeChar"/>
        </w:rPr>
        <w:t xml:space="preserve">Models/</w:t>
      </w:r>
      <w:r>
        <w:t xml:space="preserve">, </w:t>
      </w:r>
      <w:r>
        <w:rPr>
          <w:rStyle w:val="CodeChar"/>
        </w:rPr>
        <w:t xml:space="preserve">Http/</w:t>
      </w:r>
      <w:r>
        <w:t xml:space="preserve">, </w:t>
      </w:r>
      <w:r>
        <w:rPr>
          <w:rStyle w:val="CodeChar"/>
        </w:rPr>
        <w:t xml:space="preserve">database/migrations/</w:t>
      </w:r>
      <w:r>
        <w:t xml:space="preserve">, </w:t>
      </w:r>
      <w:r>
        <w:rPr>
          <w:rStyle w:val="CodeChar"/>
        </w:rPr>
        <w:t xml:space="preserve">tests/</w:t>
      </w:r>
      <w:r>
        <w:t xml:space="preserve">.</w:t>
      </w:r>
    </w:p>
    <w:p>
      <w:pPr>
        <w:pStyle w:val="Heading3"/>
      </w:pPr>
      <w:r>
        <w:t xml:space="preserve">Frontières</w:t>
      </w:r>
    </w:p>
    <w:p>
      <w:pPr/>
      <w:r>
        <w:t xml:space="preserve">Entre domaines de la console, seule la vitrine </w:t>
      </w:r>
      <w:r>
        <w:rPr>
          <w:rStyle w:val="CodeChar"/>
        </w:rPr>
        <w:t xml:space="preserve">Public/</w:t>
      </w:r>
      <w:r>
        <w:t xml:space="preserve"> est utilisable. Deptrac interdit à </w:t>
      </w:r>
      <w:r>
        <w:rPr>
          <w:rStyle w:val="CodeChar"/>
        </w:rPr>
        <w:t xml:space="preserve">platform/</w:t>
      </w:r>
      <w:r>
        <w:t xml:space="preserve"> toute dépendance vers le code exécuté chez les clients : la console ne peut donc pas lire leurs données métier.</w:t>
      </w:r>
    </w:p>
    <w:p>
      <w:pPr>
        <w:pStyle w:val="Heading3"/>
      </w:pPr>
      <w:r>
        <w:t xml:space="preserve">API exposées aux clients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Contrat</w:t>
            </w:r>
          </w:p>
        </w:tc>
        <w:tc>
          <w:tcPr>
            <w:tcW w:w="3120" w:type="dxa"/>
            <w:shd w:val="clear" w:color="auto" w:fill="F2F2F2"/>
          </w:tcPr>
          <w:p>
            <w:pPr/>
            <w:r>
              <w:t xml:space="preserve">Domaine</w:t>
            </w:r>
          </w:p>
        </w:tc>
        <w:tc>
          <w:tcPr>
            <w:tcW w:w="3120" w:type="dxa"/>
            <w:shd w:val="clear" w:color="auto" w:fill="F2F2F2"/>
          </w:tcPr>
          <w:p>
            <w:pPr/>
            <w:r>
              <w:t xml:space="preserve">Usage</w:t>
            </w:r>
          </w:p>
        </w:tc>
      </w:tr>
      <w:tr>
        <w:tc>
          <w:tcPr>
            <w:tcW w:w="3120" w:type="dxa"/>
          </w:tcPr>
          <w:p>
            <w:pPr/>
            <w:r>
              <w:rPr>
                <w:rStyle w:val="CodeChar"/>
              </w:rPr>
              <w:t xml:space="preserve">GuichetAbonnement</w:t>
            </w:r>
          </w:p>
        </w:tc>
        <w:tc>
          <w:tcPr>
            <w:tcW w:w="3120" w:type="dxa"/>
          </w:tcPr>
          <w:p>
            <w:pPr/>
            <w:r>
              <w:t xml:space="preserve">Subscriptions</w:t>
            </w:r>
          </w:p>
        </w:tc>
        <w:tc>
          <w:tcPr>
            <w:tcW w:w="3120" w:type="dxa"/>
          </w:tcPr>
          <w:p>
            <w:pPr/>
            <w:r>
              <w:t xml:space="preserve">Lire son abonnement, changer de formule, ajouter des modules ou des utilisateurs</w:t>
            </w:r>
          </w:p>
        </w:tc>
      </w:tr>
      <w:tr>
        <w:tc>
          <w:tcPr>
            <w:tcW w:w="3120" w:type="dxa"/>
          </w:tcPr>
          <w:p>
            <w:pPr/>
            <w:r>
              <w:rPr>
                <w:rStyle w:val="CodeChar"/>
              </w:rPr>
              <w:t xml:space="preserve">CalculateurPrix</w:t>
            </w:r>
          </w:p>
        </w:tc>
        <w:tc>
          <w:tcPr>
            <w:tcW w:w="3120" w:type="dxa"/>
          </w:tcPr>
          <w:p>
            <w:pPr/>
            <w:r>
              <w:t xml:space="preserve">Catalog</w:t>
            </w:r>
          </w:p>
        </w:tc>
        <w:tc>
          <w:tcPr>
            <w:tcW w:w="3120" w:type="dxa"/>
          </w:tcPr>
          <w:p>
            <w:pPr/>
            <w:r>
              <w:t xml:space="preserve">Obtenir un devis en direct</w:t>
            </w:r>
          </w:p>
        </w:tc>
      </w:tr>
      <w:tr>
        <w:tc>
          <w:tcPr>
            <w:tcW w:w="3120" w:type="dxa"/>
          </w:tcPr>
          <w:p>
            <w:pPr/>
            <w:r>
              <w:rPr>
                <w:rStyle w:val="CodeChar"/>
              </w:rPr>
              <w:t xml:space="preserve">GuichetSupport</w:t>
            </w:r>
          </w:p>
        </w:tc>
        <w:tc>
          <w:tcPr>
            <w:tcW w:w="3120" w:type="dxa"/>
          </w:tcPr>
          <w:p>
            <w:pPr/>
            <w:r>
              <w:t xml:space="preserve">Support</w:t>
            </w:r>
          </w:p>
        </w:tc>
        <w:tc>
          <w:tcPr>
            <w:tcW w:w="3120" w:type="dxa"/>
          </w:tcPr>
          <w:p>
            <w:pPr/>
            <w:r>
              <w:t xml:space="preserve">Ouvrir et suivre un ticket</w:t>
            </w:r>
          </w:p>
        </w:tc>
      </w:tr>
      <w:tr>
        <w:tc>
          <w:tcPr>
            <w:tcW w:w="3120" w:type="dxa"/>
          </w:tcPr>
          <w:p>
            <w:pPr/>
            <w:r>
              <w:rPr>
                <w:rStyle w:val="CodeChar"/>
              </w:rPr>
              <w:t xml:space="preserve">GuichetAcces</w:t>
            </w:r>
          </w:p>
        </w:tc>
        <w:tc>
          <w:tcPr>
            <w:tcW w:w="3120" w:type="dxa"/>
          </w:tcPr>
          <w:p>
            <w:pPr/>
            <w:r>
              <w:t xml:space="preserve">Access</w:t>
            </w:r>
          </w:p>
        </w:tc>
        <w:tc>
          <w:tcPr>
            <w:tcW w:w="3120" w:type="dxa"/>
          </w:tcPr>
          <w:p>
            <w:pPr/>
            <w:r>
              <w:t xml:space="preserve">Accorder ou révoquer un accès temporaire au support</w:t>
            </w:r>
          </w:p>
        </w:tc>
      </w:tr>
      <w:tr>
        <w:tc>
          <w:tcPr>
            <w:tcW w:w="3120" w:type="dxa"/>
          </w:tcPr>
          <w:p>
            <w:pPr/>
            <w:r>
              <w:rPr>
                <w:rStyle w:val="CodeChar"/>
              </w:rPr>
              <w:t xml:space="preserve">GuichetIntegrations</w:t>
            </w:r>
          </w:p>
        </w:tc>
        <w:tc>
          <w:tcPr>
            <w:tcW w:w="3120" w:type="dxa"/>
          </w:tcPr>
          <w:p>
            <w:pPr/>
            <w:r>
              <w:t xml:space="preserve">Integrations</w:t>
            </w:r>
          </w:p>
        </w:tc>
        <w:tc>
          <w:tcPr>
            <w:tcW w:w="3120" w:type="dxa"/>
          </w:tcPr>
          <w:p>
            <w:pPr/>
            <w:r>
              <w:t xml:space="preserve">Gérer ses clés API et ses webhooks (formule Entreprise)</w:t>
            </w:r>
          </w:p>
        </w:tc>
      </w:tr>
    </w:tbl>
    <w:p>
      <w:pPr/>
      <w:r>
        <w:t xml:space="preserve">L'identifiant du client est toujours déduit du contexte de la requête, jamais d'un paramètre envoyé par le navigateur.</w:t>
      </w:r>
    </w:p>
    <w:p>
      <w:pPr>
        <w:pStyle w:val="Heading3"/>
      </w:pPr>
      <w:r>
        <w:t xml:space="preserve">Synchronisation du catalogue</w:t>
      </w:r>
    </w:p>
    <w:p>
      <w:pPr/>
      <w:r>
        <w:t xml:space="preserve">À chaque déploiement, la console lit la liste des modules disponibles et crée une fiche commerciale non publiée pour tout nouveau module. Le commercial complète nom, catégorie, icône et description, puis publie ; un module marqué non vendable ne peut pas être publié.</w:t>
      </w:r>
    </w:p>
    <w:p>
      <w:pPr>
        <w:pStyle w:val="Heading2"/>
      </w:pPr>
      <w:r>
        <w:t xml:space="preserve">Schéma général de fonctionnement</w:t>
      </w:r>
    </w:p>
    <w:p>
      <w:pPr/>
      <w:r>
        <w:drawing>
          <wp:inline distT="0" distB="0" distL="0" distR="0">
            <wp:extent cx="5486400" cy="3976007"/>
            <wp:docPr id="1" name="image1" descr="fonctionnement de la console · de la commande à l'état publié"/>
            <a:graphic xmlns:a="http://schemas.openxmlformats.org/drawingml/2006/main">
              <a:graphicData uri="http://schemas.openxmlformats.org/drawingml/2006/picture">
                <pic:pic xmlns:pic="http://schemas.openxmlformats.org/drawingml/2006/picture">
                  <pic:nvPicPr>
                    <pic:cNvPr id="1" name="image1" descr="fonctionnement de la console · de la commande à l'état publié"/>
                    <pic:cNvPicPr/>
                  </pic:nvPicPr>
                  <pic:blipFill>
                    <a:blip r:embed="rId3"/>
                    <a:stretch>
                      <a:fillRect/>
                    </a:stretch>
                  </pic:blipFill>
                  <pic:spPr>
                    <a:xfrm>
                      <a:off x="0" y="0"/>
                      <a:ext cx="5486400" cy="3976007"/>
                    </a:xfrm>
                    <a:prstGeom prst="rect">
                      <a:avLst/>
                    </a:prstGeom>
                  </pic:spPr>
                </pic:pic>
              </a:graphicData>
            </a:graphic>
          </wp:inline>
        </w:drawing>
      </w:r>
    </w:p>
    <w:p>
      <w:pPr/>
      <w:r>
        <w:t xml:space="preserve">fonctionnement de la console · de la commande à l'état publié</w:t>
      </w:r>
    </w:p>
    <w:p>
      <w:pPr/>
      <w:r>
        <w:t xml:space="preserve">Tout changement passe par l'abonnement : une commande payée ou une modification d'un agent met à jour Subscriptions, puis le réconciliateur écrit l'état voulu dans la base centrale, Redis et la base du client. L'état publié dans Redis est la seule sortie de la console vers les clients.</w:t>
      </w:r>
    </w:p>
    <w:p>
      <w:pPr>
        <w:pStyle w:val="Heading2"/>
      </w:pPr>
      <w:r>
        <w:t xml:space="preserve">Structure des données : la base centrale</w:t>
      </w:r>
    </w:p>
    <w:p>
      <w:pPr/>
      <w:r>
        <w:t xml:space="preserve">La base centrale compte 44 tables réparties par domaine ; chaque table porte le préfixe de son domaine. Les montants sont en entiers (F CFA, sans décimales), les identifiants en UUID, et toutes les tables ont </w:t>
      </w:r>
      <w:r>
        <w:rPr>
          <w:rStyle w:val="CodeChar"/>
        </w:rPr>
        <w:t xml:space="preserve">created_at</w:t>
      </w:r>
      <w:r>
        <w:t xml:space="preserve"> / </w:t>
      </w:r>
      <w:r>
        <w:rPr>
          <w:rStyle w:val="CodeChar"/>
        </w:rPr>
        <w:t xml:space="preserve">updated_at</w:t>
      </w:r>
      <w:r>
        <w:t xml:space="preserve"> (non répétés ci-dessous).</w:t>
      </w:r>
    </w:p>
    <w:p>
      <w:pPr>
        <w:pStyle w:val="Heading3"/>
      </w:pPr>
      <w:r>
        <w:t xml:space="preserve">Staff : équipes NetByUs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staff_users</w:t>
            </w:r>
          </w:p>
        </w:tc>
        <w:tc>
          <w:tcPr>
            <w:tcW w:w="3120" w:type="dxa"/>
          </w:tcPr>
          <w:p>
            <w:pPr/>
            <w:r>
              <w:t xml:space="preserve">id, nom, email (unique), password, totp_secret, actif, derniere_connexion_at</w:t>
            </w:r>
          </w:p>
        </w:tc>
        <w:tc>
          <w:tcPr>
            <w:tcW w:w="3120" w:type="dxa"/>
          </w:tcPr>
          <w:p>
            <w:pPr/>
            <w:r>
              <w:t xml:space="preserve">Comptes des équipes NetByUs, séparés des utilisateurs clients</w:t>
            </w:r>
          </w:p>
        </w:tc>
      </w:tr>
      <w:tr>
        <w:tc>
          <w:tcPr>
            <w:tcW w:w="3120" w:type="dxa"/>
          </w:tcPr>
          <w:p>
            <w:pPr/>
            <w:r>
              <w:rPr>
                <w:rStyle w:val="CodeChar"/>
              </w:rPr>
              <w:t xml:space="preserve">staff_roles</w:t>
            </w:r>
          </w:p>
        </w:tc>
        <w:tc>
          <w:tcPr>
            <w:tcW w:w="3120" w:type="dxa"/>
          </w:tcPr>
          <w:p>
            <w:pPr/>
            <w:r>
              <w:t xml:space="preserve">id, cle (</w:t>
            </w:r>
            <w:r>
              <w:rPr>
                <w:rStyle w:val="CodeChar"/>
              </w:rPr>
              <w:t xml:space="preserve">super_admin</w:t>
            </w:r>
            <w:r>
              <w:t xml:space="preserve">, </w:t>
            </w:r>
            <w:r>
              <w:rPr>
                <w:rStyle w:val="CodeChar"/>
              </w:rPr>
              <w:t xml:space="preserve">commercial</w:t>
            </w:r>
            <w:r>
              <w:t xml:space="preserve">, </w:t>
            </w:r>
            <w:r>
              <w:rPr>
                <w:rStyle w:val="CodeChar"/>
              </w:rPr>
              <w:t xml:space="preserve">support</w:t>
            </w:r>
            <w:r>
              <w:t xml:space="preserve">, </w:t>
            </w:r>
            <w:r>
              <w:rPr>
                <w:rStyle w:val="CodeChar"/>
              </w:rPr>
              <w:t xml:space="preserve">finance</w:t>
            </w:r>
            <w:r>
              <w:t xml:space="preserve">, </w:t>
            </w:r>
            <w:r>
              <w:rPr>
                <w:rStyle w:val="CodeChar"/>
              </w:rPr>
              <w:t xml:space="preserve">ops</w:t>
            </w:r>
            <w:r>
              <w:t xml:space="preserve">), nom</w:t>
            </w:r>
          </w:p>
        </w:tc>
        <w:tc>
          <w:tcPr>
            <w:tcW w:w="3120" w:type="dxa"/>
          </w:tcPr>
          <w:p>
            <w:pPr/>
            <w:r>
              <w:t xml:space="preserve">Rôles internes</w:t>
            </w:r>
          </w:p>
        </w:tc>
      </w:tr>
      <w:tr>
        <w:tc>
          <w:tcPr>
            <w:tcW w:w="3120" w:type="dxa"/>
          </w:tcPr>
          <w:p>
            <w:pPr/>
            <w:r>
              <w:rPr>
                <w:rStyle w:val="CodeChar"/>
              </w:rPr>
              <w:t xml:space="preserve">staff_role_permissions</w:t>
            </w:r>
          </w:p>
        </w:tc>
        <w:tc>
          <w:tcPr>
            <w:tcW w:w="3120" w:type="dxa"/>
          </w:tcPr>
          <w:p>
            <w:pPr/>
            <w:r>
              <w:t xml:space="preserve">role_id, permission</w:t>
            </w:r>
          </w:p>
        </w:tc>
        <w:tc>
          <w:tcPr>
            <w:tcW w:w="3120" w:type="dxa"/>
          </w:tcPr>
          <w:p>
            <w:pPr/>
            <w:r>
              <w:t xml:space="preserve">Permissions par rôle (ex. </w:t>
            </w:r>
            <w:r>
              <w:rPr>
                <w:rStyle w:val="CodeChar"/>
              </w:rPr>
              <w:t xml:space="preserve">abonnements.modifier</w:t>
            </w:r>
            <w:r>
              <w:t xml:space="preserve">)</w:t>
            </w:r>
          </w:p>
        </w:tc>
      </w:tr>
      <w:tr>
        <w:tc>
          <w:tcPr>
            <w:tcW w:w="3120" w:type="dxa"/>
          </w:tcPr>
          <w:p>
            <w:pPr/>
            <w:r>
              <w:rPr>
                <w:rStyle w:val="CodeChar"/>
              </w:rPr>
              <w:t xml:space="preserve">staff_user_roles</w:t>
            </w:r>
          </w:p>
        </w:tc>
        <w:tc>
          <w:tcPr>
            <w:tcW w:w="3120" w:type="dxa"/>
          </w:tcPr>
          <w:p>
            <w:pPr/>
            <w:r>
              <w:t xml:space="preserve">staff_user_id, role_id</w:t>
            </w:r>
          </w:p>
        </w:tc>
        <w:tc>
          <w:tcPr>
            <w:tcW w:w="3120" w:type="dxa"/>
          </w:tcPr>
          <w:p>
            <w:pPr/>
            <w:r>
              <w:t xml:space="preserve">Rôles d'un agent</w:t>
            </w:r>
          </w:p>
        </w:tc>
      </w:tr>
    </w:tbl>
    <w:p>
      <w:pPr>
        <w:pStyle w:val="Heading3"/>
      </w:pPr>
      <w:r>
        <w:t xml:space="preserve">Tenants : clients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tenants</w:t>
            </w:r>
          </w:p>
        </w:tc>
        <w:tc>
          <w:tcPr>
            <w:tcW w:w="3120" w:type="dxa"/>
          </w:tcPr>
          <w:p>
            <w:pPr/>
            <w:r>
              <w:t xml:space="preserve">id, cle (ex. </w:t>
            </w:r>
            <w:r>
              <w:rPr>
                <w:rStyle w:val="CodeChar"/>
              </w:rPr>
              <w:t xml:space="preserve">sdp</w:t>
            </w:r>
            <w:r>
              <w:t xml:space="preserve">), raison_sociale, pays, devise, email_contact, telephone, etat (</w:t>
            </w:r>
            <w:r>
              <w:rPr>
                <w:rStyle w:val="CodeChar"/>
              </w:rPr>
              <w:t xml:space="preserve">provisionnement</w:t>
            </w:r>
            <w:r>
              <w:t xml:space="preserve">, </w:t>
            </w:r>
            <w:r>
              <w:rPr>
                <w:rStyle w:val="CodeChar"/>
              </w:rPr>
              <w:t xml:space="preserve">pret</w:t>
            </w:r>
            <w:r>
              <w:t xml:space="preserve">, </w:t>
            </w:r>
            <w:r>
              <w:rPr>
                <w:rStyle w:val="CodeChar"/>
              </w:rPr>
              <w:t xml:space="preserve">archive</w:t>
            </w:r>
            <w:r>
              <w:t xml:space="preserve">), cree_par (staff_user_id)</w:t>
            </w:r>
          </w:p>
        </w:tc>
        <w:tc>
          <w:tcPr>
            <w:tcW w:w="3120" w:type="dxa"/>
          </w:tcPr>
          <w:p>
            <w:pPr/>
            <w:r>
              <w:t xml:space="preserve">Le client</w:t>
            </w:r>
          </w:p>
        </w:tc>
      </w:tr>
      <w:tr>
        <w:tc>
          <w:tcPr>
            <w:tcW w:w="3120" w:type="dxa"/>
          </w:tcPr>
          <w:p>
            <w:pPr/>
            <w:r>
              <w:rPr>
                <w:rStyle w:val="CodeChar"/>
              </w:rPr>
              <w:t xml:space="preserve">tenant_domains</w:t>
            </w:r>
          </w:p>
        </w:tc>
        <w:tc>
          <w:tcPr>
            <w:tcW w:w="3120" w:type="dxa"/>
          </w:tcPr>
          <w:p>
            <w:pPr/>
            <w:r>
              <w:t xml:space="preserve">id, tenant_id, domaine (unique), principal</w:t>
            </w:r>
          </w:p>
        </w:tc>
        <w:tc>
          <w:tcPr>
            <w:tcW w:w="3120" w:type="dxa"/>
          </w:tcPr>
          <w:p>
            <w:pPr/>
            <w:r>
              <w:t xml:space="preserve">Sous-domaines (</w:t>
            </w:r>
            <w:r>
              <w:rPr>
                <w:rStyle w:val="CodeChar"/>
              </w:rPr>
              <w:t xml:space="preserve">sdp.byplus.io</w:t>
            </w:r>
            <w:r>
              <w:t xml:space="preserve">)</w:t>
            </w:r>
          </w:p>
        </w:tc>
      </w:tr>
      <w:tr>
        <w:tc>
          <w:tcPr>
            <w:tcW w:w="3120" w:type="dxa"/>
          </w:tcPr>
          <w:p>
            <w:pPr/>
            <w:r>
              <w:rPr>
                <w:rStyle w:val="CodeChar"/>
              </w:rPr>
              <w:t xml:space="preserve">tenant_databases</w:t>
            </w:r>
          </w:p>
        </w:tc>
        <w:tc>
          <w:tcPr>
            <w:tcW w:w="3120" w:type="dxa"/>
          </w:tcPr>
          <w:p>
            <w:pPr/>
            <w:r>
              <w:t xml:space="preserve">tenant_id, nom_base, version_schema, derniere_migration_at, etat</w:t>
            </w:r>
          </w:p>
        </w:tc>
        <w:tc>
          <w:tcPr>
            <w:tcW w:w="3120" w:type="dxa"/>
          </w:tcPr>
          <w:p>
            <w:pPr/>
            <w:r>
              <w:t xml:space="preserve">Base du client et son niveau de migration</w:t>
            </w:r>
          </w:p>
        </w:tc>
      </w:tr>
      <w:tr>
        <w:tc>
          <w:tcPr>
            <w:tcW w:w="3120" w:type="dxa"/>
          </w:tcPr>
          <w:p>
            <w:pPr/>
            <w:r>
              <w:rPr>
                <w:rStyle w:val="CodeChar"/>
              </w:rPr>
              <w:t xml:space="preserve">tenant_contacts</w:t>
            </w:r>
          </w:p>
        </w:tc>
        <w:tc>
          <w:tcPr>
            <w:tcW w:w="3120" w:type="dxa"/>
          </w:tcPr>
          <w:p>
            <w:pPr/>
            <w:r>
              <w:t xml:space="preserve">id, tenant_id, nom, email, telephone, role (</w:t>
            </w:r>
            <w:r>
              <w:rPr>
                <w:rStyle w:val="CodeChar"/>
              </w:rPr>
              <w:t xml:space="preserve">facturation</w:t>
            </w:r>
            <w:r>
              <w:t xml:space="preserve">, </w:t>
            </w:r>
            <w:r>
              <w:rPr>
                <w:rStyle w:val="CodeChar"/>
              </w:rPr>
              <w:t xml:space="preserve">technique</w:t>
            </w:r>
            <w:r>
              <w:t xml:space="preserve">, </w:t>
            </w:r>
            <w:r>
              <w:rPr>
                <w:rStyle w:val="CodeChar"/>
              </w:rPr>
              <w:t xml:space="preserve">decideur</w:t>
            </w:r>
            <w:r>
              <w:t xml:space="preserve">)</w:t>
            </w:r>
          </w:p>
        </w:tc>
        <w:tc>
          <w:tcPr>
            <w:tcW w:w="3120" w:type="dxa"/>
          </w:tcPr>
          <w:p>
            <w:pPr/>
            <w:r>
              <w:t xml:space="preserve">Interlocuteurs côté client</w:t>
            </w:r>
          </w:p>
        </w:tc>
      </w:tr>
    </w:tbl>
    <w:p>
      <w:pPr>
        <w:pStyle w:val="Heading3"/>
      </w:pPr>
      <w:r>
        <w:t xml:space="preserve">Catalog : ce qui se vend</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catalog_categories</w:t>
            </w:r>
          </w:p>
        </w:tc>
        <w:tc>
          <w:tcPr>
            <w:tcW w:w="3120" w:type="dxa"/>
          </w:tcPr>
          <w:p>
            <w:pPr/>
            <w:r>
              <w:t xml:space="preserve">id, cle, nom, ordre</w:t>
            </w:r>
          </w:p>
        </w:tc>
        <w:tc>
          <w:tcPr>
            <w:tcW w:w="3120" w:type="dxa"/>
          </w:tcPr>
          <w:p>
            <w:pPr/>
            <w:r>
              <w:t xml:space="preserve">Familles affichées (Ventes, Finance, RH…)</w:t>
            </w:r>
          </w:p>
        </w:tc>
      </w:tr>
      <w:tr>
        <w:tc>
          <w:tcPr>
            <w:tcW w:w="3120" w:type="dxa"/>
          </w:tcPr>
          <w:p>
            <w:pPr/>
            <w:r>
              <w:rPr>
                <w:rStyle w:val="CodeChar"/>
              </w:rPr>
              <w:t xml:space="preserve">catalog_modules</w:t>
            </w:r>
          </w:p>
        </w:tc>
        <w:tc>
          <w:tcPr>
            <w:tcW w:w="3120" w:type="dxa"/>
          </w:tcPr>
          <w:p>
            <w:pPr/>
            <w:r>
              <w:t xml:space="preserve">module_key (= clé du manifeste), categorie_id, nom_affiche, description_courte, icone, publie, eligible_gratuit, validation_requise, ordre</w:t>
            </w:r>
          </w:p>
        </w:tc>
        <w:tc>
          <w:tcPr>
            <w:tcW w:w="3120" w:type="dxa"/>
          </w:tcPr>
          <w:p>
            <w:pPr/>
            <w:r>
              <w:t xml:space="preserve">Fiche commerciale d'un module</w:t>
            </w:r>
          </w:p>
        </w:tc>
      </w:tr>
      <w:tr>
        <w:tc>
          <w:tcPr>
            <w:tcW w:w="3120" w:type="dxa"/>
          </w:tcPr>
          <w:p>
            <w:pPr/>
            <w:r>
              <w:rPr>
                <w:rStyle w:val="CodeChar"/>
              </w:rPr>
              <w:t xml:space="preserve">catalog_plans</w:t>
            </w:r>
          </w:p>
        </w:tc>
        <w:tc>
          <w:tcPr>
            <w:tcW w:w="3120" w:type="dxa"/>
          </w:tcPr>
          <w:p>
            <w:pPr/>
            <w:r>
              <w:t xml:space="preserve">id, cle (</w:t>
            </w:r>
            <w:r>
              <w:rPr>
                <w:rStyle w:val="CodeChar"/>
              </w:rPr>
              <w:t xml:space="preserve">gratuit</w:t>
            </w:r>
            <w:r>
              <w:t xml:space="preserve">, </w:t>
            </w:r>
            <w:r>
              <w:rPr>
                <w:rStyle w:val="CodeChar"/>
              </w:rPr>
              <w:t xml:space="preserve">standard</w:t>
            </w:r>
            <w:r>
              <w:t xml:space="preserve">, </w:t>
            </w:r>
            <w:r>
              <w:rPr>
                <w:rStyle w:val="CodeChar"/>
              </w:rPr>
              <w:t xml:space="preserve">entreprise</w:t>
            </w:r>
            <w:r>
              <w:t xml:space="preserve">), nom, max_modules (null = illimité), actif, ordre</w:t>
            </w:r>
          </w:p>
        </w:tc>
        <w:tc>
          <w:tcPr>
            <w:tcW w:w="3120" w:type="dxa"/>
          </w:tcPr>
          <w:p>
            <w:pPr/>
            <w:r>
              <w:t xml:space="preserve">Formules</w:t>
            </w:r>
          </w:p>
        </w:tc>
      </w:tr>
      <w:tr>
        <w:tc>
          <w:tcPr>
            <w:tcW w:w="3120" w:type="dxa"/>
          </w:tcPr>
          <w:p>
            <w:pPr/>
            <w:r>
              <w:rPr>
                <w:rStyle w:val="CodeChar"/>
              </w:rPr>
              <w:t xml:space="preserve">catalog_plan_capabilities</w:t>
            </w:r>
          </w:p>
        </w:tc>
        <w:tc>
          <w:tcPr>
            <w:tcW w:w="3120" w:type="dxa"/>
          </w:tcPr>
          <w:p>
            <w:pPr/>
            <w:r>
              <w:t xml:space="preserve">plan_id, capacite</w:t>
            </w:r>
          </w:p>
        </w:tc>
        <w:tc>
          <w:tcPr>
            <w:tcW w:w="3120" w:type="dxa"/>
          </w:tcPr>
          <w:p>
            <w:pPr/>
            <w:r>
              <w:t xml:space="preserve">Capacités données par une formule</w:t>
            </w:r>
          </w:p>
        </w:tc>
      </w:tr>
      <w:tr>
        <w:tc>
          <w:tcPr>
            <w:tcW w:w="3120" w:type="dxa"/>
          </w:tcPr>
          <w:p>
            <w:pPr/>
            <w:r>
              <w:rPr>
                <w:rStyle w:val="CodeChar"/>
              </w:rPr>
              <w:t xml:space="preserve">catalog_price_lists</w:t>
            </w:r>
          </w:p>
        </w:tc>
        <w:tc>
          <w:tcPr>
            <w:tcW w:w="3120" w:type="dxa"/>
          </w:tcPr>
          <w:p>
            <w:pPr/>
            <w:r>
              <w:t xml:space="preserve">id, version, devise, effective_from, effective_to, publiee</w:t>
            </w:r>
          </w:p>
        </w:tc>
        <w:tc>
          <w:tcPr>
            <w:tcW w:w="3120" w:type="dxa"/>
          </w:tcPr>
          <w:p>
            <w:pPr/>
            <w:r>
              <w:t xml:space="preserve">Grille tarifaire versionnée</w:t>
            </w:r>
          </w:p>
        </w:tc>
      </w:tr>
      <w:tr>
        <w:tc>
          <w:tcPr>
            <w:tcW w:w="3120" w:type="dxa"/>
          </w:tcPr>
          <w:p>
            <w:pPr/>
            <w:r>
              <w:rPr>
                <w:rStyle w:val="CodeChar"/>
              </w:rPr>
              <w:t xml:space="preserve">catalog_prices</w:t>
            </w:r>
          </w:p>
        </w:tc>
        <w:tc>
          <w:tcPr>
            <w:tcW w:w="3120" w:type="dxa"/>
          </w:tcPr>
          <w:p>
            <w:pPr/>
            <w:r>
              <w:t xml:space="preserve">id, price_list_id, cible_type (</w:t>
            </w:r>
            <w:r>
              <w:rPr>
                <w:rStyle w:val="CodeChar"/>
              </w:rPr>
              <w:t xml:space="preserve">plan</w:t>
            </w:r>
            <w:r>
              <w:t xml:space="preserve">, </w:t>
            </w:r>
            <w:r>
              <w:rPr>
                <w:rStyle w:val="CodeChar"/>
              </w:rPr>
              <w:t xml:space="preserve">utilisateur_leger</w:t>
            </w:r>
            <w:r>
              <w:t xml:space="preserve">, </w:t>
            </w:r>
            <w:r>
              <w:rPr>
                <w:rStyle w:val="CodeChar"/>
              </w:rPr>
              <w:t xml:space="preserve">option</w:t>
            </w:r>
            <w:r>
              <w:t xml:space="preserve">), cible_id, periodicite (</w:t>
            </w:r>
            <w:r>
              <w:rPr>
                <w:rStyle w:val="CodeChar"/>
              </w:rPr>
              <w:t xml:space="preserve">mensuel</w:t>
            </w:r>
            <w:r>
              <w:t xml:space="preserve">, </w:t>
            </w:r>
            <w:r>
              <w:rPr>
                <w:rStyle w:val="CodeChar"/>
              </w:rPr>
              <w:t xml:space="preserve">annuel</w:t>
            </w:r>
            <w:r>
              <w:t xml:space="preserve">), montant_unitaire</w:t>
            </w:r>
          </w:p>
        </w:tc>
        <w:tc>
          <w:tcPr>
            <w:tcW w:w="3120" w:type="dxa"/>
          </w:tcPr>
          <w:p>
            <w:pPr/>
            <w:r>
              <w:t xml:space="preserve">Prix de chaque élément dans une grille</w:t>
            </w:r>
          </w:p>
        </w:tc>
      </w:tr>
      <w:tr>
        <w:tc>
          <w:tcPr>
            <w:tcW w:w="3120" w:type="dxa"/>
          </w:tcPr>
          <w:p>
            <w:pPr/>
            <w:r>
              <w:rPr>
                <w:rStyle w:val="CodeChar"/>
              </w:rPr>
              <w:t xml:space="preserve">catalog_options</w:t>
            </w:r>
          </w:p>
        </w:tc>
        <w:tc>
          <w:tcPr>
            <w:tcW w:w="3120" w:type="dxa"/>
          </w:tcPr>
          <w:p>
            <w:pPr/>
            <w:r>
              <w:t xml:space="preserve">id, cle, module_key, nom, unite (</w:t>
            </w:r>
            <w:r>
              <w:rPr>
                <w:rStyle w:val="CodeChar"/>
              </w:rPr>
              <w:t xml:space="preserve">caisse</w:t>
            </w:r>
            <w:r>
              <w:t xml:space="preserve">, </w:t>
            </w:r>
            <w:r>
              <w:rPr>
                <w:rStyle w:val="CodeChar"/>
              </w:rPr>
              <w:t xml:space="preserve">porte</w:t>
            </w:r>
            <w:r>
              <w:t xml:space="preserve">, </w:t>
            </w:r>
            <w:r>
              <w:rPr>
                <w:rStyle w:val="CodeChar"/>
              </w:rPr>
              <w:t xml:space="preserve">installation</w:t>
            </w:r>
            <w:r>
              <w:t xml:space="preserve">), recurrente</w:t>
            </w:r>
          </w:p>
        </w:tc>
        <w:tc>
          <w:tcPr>
            <w:tcW w:w="3120" w:type="dxa"/>
          </w:tcPr>
          <w:p>
            <w:pPr/>
            <w:r>
              <w:t xml:space="preserve">Options payantes</w:t>
            </w:r>
          </w:p>
        </w:tc>
      </w:tr>
      <w:tr>
        <w:tc>
          <w:tcPr>
            <w:tcW w:w="3120" w:type="dxa"/>
          </w:tcPr>
          <w:p>
            <w:pPr/>
            <w:r>
              <w:rPr>
                <w:rStyle w:val="CodeChar"/>
              </w:rPr>
              <w:t xml:space="preserve">catalog_promotions</w:t>
            </w:r>
          </w:p>
        </w:tc>
        <w:tc>
          <w:tcPr>
            <w:tcW w:w="3120" w:type="dxa"/>
          </w:tcPr>
          <w:p>
            <w:pPr/>
            <w:r>
              <w:t xml:space="preserve">id, nom, code (null = automatique), type (</w:t>
            </w:r>
            <w:r>
              <w:rPr>
                <w:rStyle w:val="CodeChar"/>
              </w:rPr>
              <w:t xml:space="preserve">pourcentage</w:t>
            </w:r>
            <w:r>
              <w:t xml:space="preserve">, </w:t>
            </w:r>
            <w:r>
              <w:rPr>
                <w:rStyle w:val="CodeChar"/>
              </w:rPr>
              <w:t xml:space="preserve">montant</w:t>
            </w:r>
            <w:r>
              <w:t xml:space="preserve">), valeur, plans (json), debut, fin, utilisations_max, utilisations</w:t>
            </w:r>
          </w:p>
        </w:tc>
        <w:tc>
          <w:tcPr>
            <w:tcW w:w="3120" w:type="dxa"/>
          </w:tcPr>
          <w:p>
            <w:pPr/>
            <w:r>
              <w:t xml:space="preserve">Prix barrés et codes promo</w:t>
            </w:r>
          </w:p>
        </w:tc>
      </w:tr>
    </w:tbl>
    <w:p>
      <w:pPr>
        <w:pStyle w:val="Heading3"/>
      </w:pPr>
      <w:r>
        <w:t xml:space="preserve">Subscriptions : ce que chaque client a acheté</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sub_subscriptions</w:t>
            </w:r>
          </w:p>
        </w:tc>
        <w:tc>
          <w:tcPr>
            <w:tcW w:w="3120" w:type="dxa"/>
          </w:tcPr>
          <w:p>
            <w:pPr/>
            <w:r>
              <w:t xml:space="preserve">id, tenant_id (unique), plan_id, price_list_id, periodicite, etat, debut, fin_periode, fin_essai, fin_grace, utilisateurs_complets, utilisateurs_legers, prix_utilisateur_fige, prix_leger_fige, promotion_id, renouvellement_auto</w:t>
            </w:r>
          </w:p>
        </w:tc>
        <w:tc>
          <w:tcPr>
            <w:tcW w:w="3120" w:type="dxa"/>
          </w:tcPr>
          <w:p>
            <w:pPr/>
            <w:r>
              <w:t xml:space="preserve">L'abonnement du client, prix figés</w:t>
            </w:r>
          </w:p>
        </w:tc>
      </w:tr>
      <w:tr>
        <w:tc>
          <w:tcPr>
            <w:tcW w:w="3120" w:type="dxa"/>
          </w:tcPr>
          <w:p>
            <w:pPr/>
            <w:r>
              <w:rPr>
                <w:rStyle w:val="CodeChar"/>
              </w:rPr>
              <w:t xml:space="preserve">sub_modules</w:t>
            </w:r>
          </w:p>
        </w:tc>
        <w:tc>
          <w:tcPr>
            <w:tcW w:w="3120" w:type="dxa"/>
          </w:tcPr>
          <w:p>
            <w:pPr/>
            <w:r>
              <w:t xml:space="preserve">id, subscription_id, module_key, ajoute_at, retrait_prevu_at, retire_at</w:t>
            </w:r>
          </w:p>
        </w:tc>
        <w:tc>
          <w:tcPr>
            <w:tcW w:w="3120" w:type="dxa"/>
          </w:tcPr>
          <w:p>
            <w:pPr/>
            <w:r>
              <w:t xml:space="preserve">Modules choisis par le client (sans prix)</w:t>
            </w:r>
          </w:p>
        </w:tc>
      </w:tr>
      <w:tr>
        <w:tc>
          <w:tcPr>
            <w:tcW w:w="3120" w:type="dxa"/>
          </w:tcPr>
          <w:p>
            <w:pPr/>
            <w:r>
              <w:rPr>
                <w:rStyle w:val="CodeChar"/>
              </w:rPr>
              <w:t xml:space="preserve">sub_options</w:t>
            </w:r>
          </w:p>
        </w:tc>
        <w:tc>
          <w:tcPr>
            <w:tcW w:w="3120" w:type="dxa"/>
          </w:tcPr>
          <w:p>
            <w:pPr/>
            <w:r>
              <w:t xml:space="preserve">id, subscription_id, option_id, quantite, prix_unitaire_fige, ajoute_at, retire_at</w:t>
            </w:r>
          </w:p>
        </w:tc>
        <w:tc>
          <w:tcPr>
            <w:tcW w:w="3120" w:type="dxa"/>
          </w:tcPr>
          <w:p>
            <w:pPr/>
            <w:r>
              <w:t xml:space="preserve">Options souscrites</w:t>
            </w:r>
          </w:p>
        </w:tc>
      </w:tr>
      <w:tr>
        <w:tc>
          <w:tcPr>
            <w:tcW w:w="3120" w:type="dxa"/>
          </w:tcPr>
          <w:p>
            <w:pPr/>
            <w:r>
              <w:rPr>
                <w:rStyle w:val="CodeChar"/>
              </w:rPr>
              <w:t xml:space="preserve">sub_extensions</w:t>
            </w:r>
          </w:p>
        </w:tc>
        <w:tc>
          <w:tcPr>
            <w:tcW w:w="3120" w:type="dxa"/>
          </w:tcPr>
          <w:p>
            <w:pPr/>
            <w:r>
              <w:t xml:space="preserve">id, subscription_id, extension_key, contrat_ref, debut, fin</w:t>
            </w:r>
          </w:p>
        </w:tc>
        <w:tc>
          <w:tcPr>
            <w:tcW w:w="3120" w:type="dxa"/>
          </w:tcPr>
          <w:p>
            <w:pPr/>
            <w:r>
              <w:t xml:space="preserve">Extensions client attribuées</w:t>
            </w:r>
          </w:p>
        </w:tc>
      </w:tr>
      <w:tr>
        <w:tc>
          <w:tcPr>
            <w:tcW w:w="3120" w:type="dxa"/>
          </w:tcPr>
          <w:p>
            <w:pPr/>
            <w:r>
              <w:rPr>
                <w:rStyle w:val="CodeChar"/>
              </w:rPr>
              <w:t xml:space="preserve">sub_events</w:t>
            </w:r>
          </w:p>
        </w:tc>
        <w:tc>
          <w:tcPr>
            <w:tcW w:w="3120" w:type="dxa"/>
          </w:tcPr>
          <w:p>
            <w:pPr/>
            <w:r>
              <w:t xml:space="preserve">id, subscription_id, type (</w:t>
            </w:r>
            <w:r>
              <w:rPr>
                <w:rStyle w:val="CodeChar"/>
              </w:rPr>
              <w:t xml:space="preserve">cree</w:t>
            </w:r>
            <w:r>
              <w:t xml:space="preserve">, </w:t>
            </w:r>
            <w:r>
              <w:rPr>
                <w:rStyle w:val="CodeChar"/>
              </w:rPr>
              <w:t xml:space="preserve">formule_changee</w:t>
            </w:r>
            <w:r>
              <w:t xml:space="preserve">, </w:t>
            </w:r>
            <w:r>
              <w:rPr>
                <w:rStyle w:val="CodeChar"/>
              </w:rPr>
              <w:t xml:space="preserve">module_ajoute</w:t>
            </w:r>
            <w:r>
              <w:t xml:space="preserve">, </w:t>
            </w:r>
            <w:r>
              <w:rPr>
                <w:rStyle w:val="CodeChar"/>
              </w:rPr>
              <w:t xml:space="preserve">etat_change</w:t>
            </w:r>
            <w:r>
              <w:t xml:space="preserve">…), avant (json), apres (json), acteur_type, acteur_id, created_at</w:t>
            </w:r>
          </w:p>
        </w:tc>
        <w:tc>
          <w:tcPr>
            <w:tcW w:w="3120" w:type="dxa"/>
          </w:tcPr>
          <w:p>
            <w:pPr/>
            <w:r>
              <w:t xml:space="preserve">Historique, en ajout seul</w:t>
            </w:r>
          </w:p>
        </w:tc>
      </w:tr>
    </w:tbl>
    <w:p>
      <w:pPr>
        <w:pStyle w:val="Heading3"/>
      </w:pPr>
      <w:r>
        <w:t xml:space="preserve">Orders : commandes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ord_orders</w:t>
            </w:r>
          </w:p>
        </w:tc>
        <w:tc>
          <w:tcPr>
            <w:tcW w:w="3120" w:type="dxa"/>
          </w:tcPr>
          <w:p>
            <w:pPr/>
            <w:r>
              <w:t xml:space="preserve">id, tenant_id, subscription_id, source (</w:t>
            </w:r>
            <w:r>
              <w:rPr>
                <w:rStyle w:val="CodeChar"/>
              </w:rPr>
              <w:t xml:space="preserve">client</w:t>
            </w:r>
            <w:r>
              <w:t xml:space="preserve">, </w:t>
            </w:r>
            <w:r>
              <w:rPr>
                <w:rStyle w:val="CodeChar"/>
              </w:rPr>
              <w:t xml:space="preserve">console</w:t>
            </w:r>
            <w:r>
              <w:t xml:space="preserve">, </w:t>
            </w:r>
            <w:r>
              <w:rPr>
                <w:rStyle w:val="CodeChar"/>
              </w:rPr>
              <w:t xml:space="preserve">public</w:t>
            </w:r>
            <w:r>
              <w:t xml:space="preserve">), etat (</w:t>
            </w:r>
            <w:r>
              <w:rPr>
                <w:rStyle w:val="CodeChar"/>
              </w:rPr>
              <w:t xml:space="preserve">brouillon</w:t>
            </w:r>
            <w:r>
              <w:t xml:space="preserve">, </w:t>
            </w:r>
            <w:r>
              <w:rPr>
                <w:rStyle w:val="CodeChar"/>
              </w:rPr>
              <w:t xml:space="preserve">a_payer</w:t>
            </w:r>
            <w:r>
              <w:t xml:space="preserve">, </w:t>
            </w:r>
            <w:r>
              <w:rPr>
                <w:rStyle w:val="CodeChar"/>
              </w:rPr>
              <w:t xml:space="preserve">a_valider</w:t>
            </w:r>
            <w:r>
              <w:t xml:space="preserve">, </w:t>
            </w:r>
            <w:r>
              <w:rPr>
                <w:rStyle w:val="CodeChar"/>
              </w:rPr>
              <w:t xml:space="preserve">payee</w:t>
            </w:r>
            <w:r>
              <w:t xml:space="preserve">, </w:t>
            </w:r>
            <w:r>
              <w:rPr>
                <w:rStyle w:val="CodeChar"/>
              </w:rPr>
              <w:t xml:space="preserve">appliquee</w:t>
            </w:r>
            <w:r>
              <w:t xml:space="preserve">, </w:t>
            </w:r>
            <w:r>
              <w:rPr>
                <w:rStyle w:val="CodeChar"/>
              </w:rPr>
              <w:t xml:space="preserve">annulee</w:t>
            </w:r>
            <w:r>
              <w:t xml:space="preserve">), devis_json, total, valide_par</w:t>
            </w:r>
          </w:p>
        </w:tc>
        <w:tc>
          <w:tcPr>
            <w:tcW w:w="3120" w:type="dxa"/>
          </w:tcPr>
          <w:p>
            <w:pPr/>
            <w:r>
              <w:t xml:space="preserve">Demande de changement avant application</w:t>
            </w:r>
          </w:p>
        </w:tc>
      </w:tr>
      <w:tr>
        <w:tc>
          <w:tcPr>
            <w:tcW w:w="3120" w:type="dxa"/>
          </w:tcPr>
          <w:p>
            <w:pPr/>
            <w:r>
              <w:rPr>
                <w:rStyle w:val="CodeChar"/>
              </w:rPr>
              <w:t xml:space="preserve">ord_order_lines</w:t>
            </w:r>
          </w:p>
        </w:tc>
        <w:tc>
          <w:tcPr>
            <w:tcW w:w="3120" w:type="dxa"/>
          </w:tcPr>
          <w:p>
            <w:pPr/>
            <w:r>
              <w:t xml:space="preserve">id, order_id, type (</w:t>
            </w:r>
            <w:r>
              <w:rPr>
                <w:rStyle w:val="CodeChar"/>
              </w:rPr>
              <w:t xml:space="preserve">plan</w:t>
            </w:r>
            <w:r>
              <w:t xml:space="preserve">, </w:t>
            </w:r>
            <w:r>
              <w:rPr>
                <w:rStyle w:val="CodeChar"/>
              </w:rPr>
              <w:t xml:space="preserve">utilisateurs</w:t>
            </w:r>
            <w:r>
              <w:t xml:space="preserve">, </w:t>
            </w:r>
            <w:r>
              <w:rPr>
                <w:rStyle w:val="CodeChar"/>
              </w:rPr>
              <w:t xml:space="preserve">module</w:t>
            </w:r>
            <w:r>
              <w:t xml:space="preserve">, </w:t>
            </w:r>
            <w:r>
              <w:rPr>
                <w:rStyle w:val="CodeChar"/>
              </w:rPr>
              <w:t xml:space="preserve">option</w:t>
            </w:r>
            <w:r>
              <w:t xml:space="preserve">, </w:t>
            </w:r>
            <w:r>
              <w:rPr>
                <w:rStyle w:val="CodeChar"/>
              </w:rPr>
              <w:t xml:space="preserve">remise</w:t>
            </w:r>
            <w:r>
              <w:t xml:space="preserve">, </w:t>
            </w:r>
            <w:r>
              <w:rPr>
                <w:rStyle w:val="CodeChar"/>
              </w:rPr>
              <w:t xml:space="preserve">prorata</w:t>
            </w:r>
            <w:r>
              <w:t xml:space="preserve">, </w:t>
            </w:r>
            <w:r>
              <w:rPr>
                <w:rStyle w:val="CodeChar"/>
              </w:rPr>
              <w:t xml:space="preserve">taxe</w:t>
            </w:r>
            <w:r>
              <w:t xml:space="preserve">), cible, quantite, prix_unitaire, montant</w:t>
            </w:r>
          </w:p>
        </w:tc>
        <w:tc>
          <w:tcPr>
            <w:tcW w:w="3120" w:type="dxa"/>
          </w:tcPr>
          <w:p>
            <w:pPr/>
            <w:r>
              <w:t xml:space="preserve">Lignes du devis figé</w:t>
            </w:r>
          </w:p>
        </w:tc>
      </w:tr>
    </w:tbl>
    <w:p>
      <w:pPr>
        <w:pStyle w:val="Heading3"/>
      </w:pPr>
      <w:r>
        <w:t xml:space="preserve">Billing : facturation NetByUs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bill_invoices</w:t>
            </w:r>
          </w:p>
        </w:tc>
        <w:tc>
          <w:tcPr>
            <w:tcW w:w="3120" w:type="dxa"/>
          </w:tcPr>
          <w:p>
            <w:pPr/>
            <w:r>
              <w:t xml:space="preserve">id, numero (unique), tenant_id, order_id, periode_debut, periode_fin, sous_total, remise, taxes, total, etat (</w:t>
            </w:r>
            <w:r>
              <w:rPr>
                <w:rStyle w:val="CodeChar"/>
              </w:rPr>
              <w:t xml:space="preserve">emise</w:t>
            </w:r>
            <w:r>
              <w:t xml:space="preserve">, </w:t>
            </w:r>
            <w:r>
              <w:rPr>
                <w:rStyle w:val="CodeChar"/>
              </w:rPr>
              <w:t xml:space="preserve">payee</w:t>
            </w:r>
            <w:r>
              <w:t xml:space="preserve">, </w:t>
            </w:r>
            <w:r>
              <w:rPr>
                <w:rStyle w:val="CodeChar"/>
              </w:rPr>
              <w:t xml:space="preserve">en_retard</w:t>
            </w:r>
            <w:r>
              <w:t xml:space="preserve">, </w:t>
            </w:r>
            <w:r>
              <w:rPr>
                <w:rStyle w:val="CodeChar"/>
              </w:rPr>
              <w:t xml:space="preserve">annulee</w:t>
            </w:r>
            <w:r>
              <w:t xml:space="preserve">), echeance, pdf_path</w:t>
            </w:r>
          </w:p>
        </w:tc>
        <w:tc>
          <w:tcPr>
            <w:tcW w:w="3120" w:type="dxa"/>
          </w:tcPr>
          <w:p>
            <w:pPr/>
            <w:r>
              <w:t xml:space="preserve">Factures de NetByUs à ses clients</w:t>
            </w:r>
          </w:p>
        </w:tc>
      </w:tr>
      <w:tr>
        <w:tc>
          <w:tcPr>
            <w:tcW w:w="3120" w:type="dxa"/>
          </w:tcPr>
          <w:p>
            <w:pPr/>
            <w:r>
              <w:rPr>
                <w:rStyle w:val="CodeChar"/>
              </w:rPr>
              <w:t xml:space="preserve">bill_invoice_lines</w:t>
            </w:r>
          </w:p>
        </w:tc>
        <w:tc>
          <w:tcPr>
            <w:tcW w:w="3120" w:type="dxa"/>
          </w:tcPr>
          <w:p>
            <w:pPr/>
            <w:r>
              <w:t xml:space="preserve">id, invoice_id, libelle, quantite, prix_unitaire, montant</w:t>
            </w:r>
          </w:p>
        </w:tc>
        <w:tc>
          <w:tcPr>
            <w:tcW w:w="3120" w:type="dxa"/>
          </w:tcPr>
          <w:p>
            <w:pPr/>
            <w:r>
              <w:t xml:space="preserve">Lignes de facture</w:t>
            </w:r>
          </w:p>
        </w:tc>
      </w:tr>
      <w:tr>
        <w:tc>
          <w:tcPr>
            <w:tcW w:w="3120" w:type="dxa"/>
          </w:tcPr>
          <w:p>
            <w:pPr/>
            <w:r>
              <w:rPr>
                <w:rStyle w:val="CodeChar"/>
              </w:rPr>
              <w:t xml:space="preserve">bill_payments</w:t>
            </w:r>
          </w:p>
        </w:tc>
        <w:tc>
          <w:tcPr>
            <w:tcW w:w="3120" w:type="dxa"/>
          </w:tcPr>
          <w:p>
            <w:pPr/>
            <w:r>
              <w:t xml:space="preserve">id, invoice_id, passerelle (</w:t>
            </w:r>
            <w:r>
              <w:rPr>
                <w:rStyle w:val="CodeChar"/>
              </w:rPr>
              <w:t xml:space="preserve">fedapay</w:t>
            </w:r>
            <w:r>
              <w:t xml:space="preserve">, </w:t>
            </w:r>
            <w:r>
              <w:rPr>
                <w:rStyle w:val="CodeChar"/>
              </w:rPr>
              <w:t xml:space="preserve">kkiapay</w:t>
            </w:r>
            <w:r>
              <w:t xml:space="preserve">, </w:t>
            </w:r>
            <w:r>
              <w:rPr>
                <w:rStyle w:val="CodeChar"/>
              </w:rPr>
              <w:t xml:space="preserve">virement</w:t>
            </w:r>
            <w:r>
              <w:t xml:space="preserve">…), transaction_ref (unique), montant, etat, recu_at, payload (json)</w:t>
            </w:r>
          </w:p>
        </w:tc>
        <w:tc>
          <w:tcPr>
            <w:tcW w:w="3120" w:type="dxa"/>
          </w:tcPr>
          <w:p>
            <w:pPr/>
            <w:r>
              <w:t xml:space="preserve">Paiements</w:t>
            </w:r>
          </w:p>
        </w:tc>
      </w:tr>
      <w:tr>
        <w:tc>
          <w:tcPr>
            <w:tcW w:w="3120" w:type="dxa"/>
          </w:tcPr>
          <w:p>
            <w:pPr/>
            <w:r>
              <w:rPr>
                <w:rStyle w:val="CodeChar"/>
              </w:rPr>
              <w:t xml:space="preserve">bill_gateway_events</w:t>
            </w:r>
          </w:p>
        </w:tc>
        <w:tc>
          <w:tcPr>
            <w:tcW w:w="3120" w:type="dxa"/>
          </w:tcPr>
          <w:p>
            <w:pPr/>
            <w:r>
              <w:t xml:space="preserve">id, passerelle, event_ref (unique), type, payload (json), traite_at</w:t>
            </w:r>
          </w:p>
        </w:tc>
        <w:tc>
          <w:tcPr>
            <w:tcW w:w="3120" w:type="dxa"/>
          </w:tcPr>
          <w:p>
            <w:pPr/>
            <w:r>
              <w:t xml:space="preserve">Webhooks entrants, pour l'idempotence</w:t>
            </w:r>
          </w:p>
        </w:tc>
      </w:tr>
    </w:tbl>
    <w:p>
      <w:pPr>
        <w:pStyle w:val="Heading3"/>
      </w:pPr>
      <w:r>
        <w:t xml:space="preserve">Activation : état réel des clients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act_tenant_modules</w:t>
            </w:r>
          </w:p>
        </w:tc>
        <w:tc>
          <w:tcPr>
            <w:tcW w:w="3120" w:type="dxa"/>
          </w:tcPr>
          <w:p>
            <w:pPr/>
            <w:r>
              <w:t xml:space="preserve">tenant_id, module_key, origine (</w:t>
            </w:r>
            <w:r>
              <w:rPr>
                <w:rStyle w:val="CodeChar"/>
              </w:rPr>
              <w:t xml:space="preserve">choisi</w:t>
            </w:r>
            <w:r>
              <w:t xml:space="preserve">, </w:t>
            </w:r>
            <w:r>
              <w:rPr>
                <w:rStyle w:val="CodeChar"/>
              </w:rPr>
              <w:t xml:space="preserve">requis</w:t>
            </w:r>
            <w:r>
              <w:t xml:space="preserve">, </w:t>
            </w:r>
            <w:r>
              <w:rPr>
                <w:rStyle w:val="CodeChar"/>
              </w:rPr>
              <w:t xml:space="preserve">pont</w:t>
            </w:r>
            <w:r>
              <w:t xml:space="preserve">, </w:t>
            </w:r>
            <w:r>
              <w:rPr>
                <w:rStyle w:val="CodeChar"/>
              </w:rPr>
              <w:t xml:space="preserve">extension</w:t>
            </w:r>
            <w:r>
              <w:t xml:space="preserve">), actif, active_at, desactive_at</w:t>
            </w:r>
          </w:p>
        </w:tc>
        <w:tc>
          <w:tcPr>
            <w:tcW w:w="3120" w:type="dxa"/>
          </w:tcPr>
          <w:p>
            <w:pPr/>
            <w:r>
              <w:t xml:space="preserve">Modules réellement actifs, avec leur origine</w:t>
            </w:r>
          </w:p>
        </w:tc>
      </w:tr>
      <w:tr>
        <w:tc>
          <w:tcPr>
            <w:tcW w:w="3120" w:type="dxa"/>
          </w:tcPr>
          <w:p>
            <w:pPr/>
            <w:r>
              <w:rPr>
                <w:rStyle w:val="CodeChar"/>
              </w:rPr>
              <w:t xml:space="preserve">act_tenant_capabilities</w:t>
            </w:r>
          </w:p>
        </w:tc>
        <w:tc>
          <w:tcPr>
            <w:tcW w:w="3120" w:type="dxa"/>
          </w:tcPr>
          <w:p>
            <w:pPr/>
            <w:r>
              <w:t xml:space="preserve">tenant_id, capacite, active_at</w:t>
            </w:r>
          </w:p>
        </w:tc>
        <w:tc>
          <w:tcPr>
            <w:tcW w:w="3120" w:type="dxa"/>
          </w:tcPr>
          <w:p>
            <w:pPr/>
            <w:r>
              <w:t xml:space="preserve">Capacités réellement actives</w:t>
            </w:r>
          </w:p>
        </w:tc>
      </w:tr>
      <w:tr>
        <w:tc>
          <w:tcPr>
            <w:tcW w:w="3120" w:type="dxa"/>
          </w:tcPr>
          <w:p>
            <w:pPr/>
            <w:r>
              <w:rPr>
                <w:rStyle w:val="CodeChar"/>
              </w:rPr>
              <w:t xml:space="preserve">act_runs</w:t>
            </w:r>
          </w:p>
        </w:tc>
        <w:tc>
          <w:tcPr>
            <w:tcW w:w="3120" w:type="dxa"/>
          </w:tcPr>
          <w:p>
            <w:pPr/>
            <w:r>
              <w:t xml:space="preserve">id, tenant_id, declencheur, etat_voulu (json), diff (json), statut (</w:t>
            </w:r>
            <w:r>
              <w:rPr>
                <w:rStyle w:val="CodeChar"/>
              </w:rPr>
              <w:t xml:space="preserve">en_cours</w:t>
            </w:r>
            <w:r>
              <w:t xml:space="preserve">, </w:t>
            </w:r>
            <w:r>
              <w:rPr>
                <w:rStyle w:val="CodeChar"/>
              </w:rPr>
              <w:t xml:space="preserve">ok</w:t>
            </w:r>
            <w:r>
              <w:t xml:space="preserve">, </w:t>
            </w:r>
            <w:r>
              <w:rPr>
                <w:rStyle w:val="CodeChar"/>
              </w:rPr>
              <w:t xml:space="preserve">echec</w:t>
            </w:r>
            <w:r>
              <w:t xml:space="preserve">), erreur, debut, fin</w:t>
            </w:r>
          </w:p>
        </w:tc>
        <w:tc>
          <w:tcPr>
            <w:tcW w:w="3120" w:type="dxa"/>
          </w:tcPr>
          <w:p>
            <w:pPr/>
            <w:r>
              <w:t xml:space="preserve">Chaque passage du réconciliateur</w:t>
            </w:r>
          </w:p>
        </w:tc>
      </w:tr>
    </w:tbl>
    <w:p>
      <w:pPr>
        <w:pStyle w:val="Heading3"/>
      </w:pPr>
      <w:r>
        <w:t xml:space="preserve">Support, accès, intégrations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sup_tickets</w:t>
            </w:r>
          </w:p>
        </w:tc>
        <w:tc>
          <w:tcPr>
            <w:tcW w:w="3120" w:type="dxa"/>
          </w:tcPr>
          <w:p>
            <w:pPr/>
            <w:r>
              <w:t xml:space="preserve">id, numero, tenant_id, auteur_user_id (id dans la base client), auteur_nom, sujet, module_key, priorite, statut, assigne_a (staff_user_id), premiere_reponse_at, resolu_at</w:t>
            </w:r>
          </w:p>
        </w:tc>
        <w:tc>
          <w:tcPr>
            <w:tcW w:w="3120" w:type="dxa"/>
          </w:tcPr>
          <w:p>
            <w:pPr/>
            <w:r>
              <w:t xml:space="preserve">Tickets</w:t>
            </w:r>
          </w:p>
        </w:tc>
      </w:tr>
      <w:tr>
        <w:tc>
          <w:tcPr>
            <w:tcW w:w="3120" w:type="dxa"/>
          </w:tcPr>
          <w:p>
            <w:pPr/>
            <w:r>
              <w:rPr>
                <w:rStyle w:val="CodeChar"/>
              </w:rPr>
              <w:t xml:space="preserve">sup_messages</w:t>
            </w:r>
          </w:p>
        </w:tc>
        <w:tc>
          <w:tcPr>
            <w:tcW w:w="3120" w:type="dxa"/>
          </w:tcPr>
          <w:p>
            <w:pPr/>
            <w:r>
              <w:t xml:space="preserve">id, ticket_id, auteur_type (</w:t>
            </w:r>
            <w:r>
              <w:rPr>
                <w:rStyle w:val="CodeChar"/>
              </w:rPr>
              <w:t xml:space="preserve">client</w:t>
            </w:r>
            <w:r>
              <w:t xml:space="preserve">, </w:t>
            </w:r>
            <w:r>
              <w:rPr>
                <w:rStyle w:val="CodeChar"/>
              </w:rPr>
              <w:t xml:space="preserve">staff</w:t>
            </w:r>
            <w:r>
              <w:t xml:space="preserve">), auteur_id, corps, interne</w:t>
            </w:r>
          </w:p>
        </w:tc>
        <w:tc>
          <w:tcPr>
            <w:tcW w:w="3120" w:type="dxa"/>
          </w:tcPr>
          <w:p>
            <w:pPr/>
            <w:r>
              <w:t xml:space="preserve">Échanges ; </w:t>
            </w:r>
            <w:r>
              <w:rPr>
                <w:rStyle w:val="CodeChar"/>
              </w:rPr>
              <w:t xml:space="preserve">interne</w:t>
            </w:r>
            <w:r>
              <w:t xml:space="preserve"> = note invisible du client</w:t>
            </w:r>
          </w:p>
        </w:tc>
      </w:tr>
      <w:tr>
        <w:tc>
          <w:tcPr>
            <w:tcW w:w="3120" w:type="dxa"/>
          </w:tcPr>
          <w:p>
            <w:pPr/>
            <w:r>
              <w:rPr>
                <w:rStyle w:val="CodeChar"/>
              </w:rPr>
              <w:t xml:space="preserve">sup_attachments</w:t>
            </w:r>
          </w:p>
        </w:tc>
        <w:tc>
          <w:tcPr>
            <w:tcW w:w="3120" w:type="dxa"/>
          </w:tcPr>
          <w:p>
            <w:pPr/>
            <w:r>
              <w:t xml:space="preserve">id, message_id, chemin_s3, nom, taille</w:t>
            </w:r>
          </w:p>
        </w:tc>
        <w:tc>
          <w:tcPr>
            <w:tcW w:w="3120" w:type="dxa"/>
          </w:tcPr>
          <w:p>
            <w:pPr/>
            <w:r>
              <w:t xml:space="preserve">Pièces jointes</w:t>
            </w:r>
          </w:p>
        </w:tc>
      </w:tr>
      <w:tr>
        <w:tc>
          <w:tcPr>
            <w:tcW w:w="3120" w:type="dxa"/>
          </w:tcPr>
          <w:p>
            <w:pPr/>
            <w:r>
              <w:rPr>
                <w:rStyle w:val="CodeChar"/>
              </w:rPr>
              <w:t xml:space="preserve">acc_support_grants</w:t>
            </w:r>
          </w:p>
        </w:tc>
        <w:tc>
          <w:tcPr>
            <w:tcW w:w="3120" w:type="dxa"/>
          </w:tcPr>
          <w:p>
            <w:pPr/>
            <w:r>
              <w:t xml:space="preserve">id, tenant_id, accorde_par_user_id, ticket_id, debut, fin, revoque_at</w:t>
            </w:r>
          </w:p>
        </w:tc>
        <w:tc>
          <w:tcPr>
            <w:tcW w:w="3120" w:type="dxa"/>
          </w:tcPr>
          <w:p>
            <w:pPr/>
            <w:r>
              <w:t xml:space="preserve">Accès temporaire du support, accordé par le client</w:t>
            </w:r>
          </w:p>
        </w:tc>
      </w:tr>
      <w:tr>
        <w:tc>
          <w:tcPr>
            <w:tcW w:w="3120" w:type="dxa"/>
          </w:tcPr>
          <w:p>
            <w:pPr/>
            <w:r>
              <w:rPr>
                <w:rStyle w:val="CodeChar"/>
              </w:rPr>
              <w:t xml:space="preserve">acc_support_sessions</w:t>
            </w:r>
          </w:p>
        </w:tc>
        <w:tc>
          <w:tcPr>
            <w:tcW w:w="3120" w:type="dxa"/>
          </w:tcPr>
          <w:p>
            <w:pPr/>
            <w:r>
              <w:t xml:space="preserve">id, grant_id, staff_user_id, debut, fin, ip</w:t>
            </w:r>
          </w:p>
        </w:tc>
        <w:tc>
          <w:tcPr>
            <w:tcW w:w="3120" w:type="dxa"/>
          </w:tcPr>
          <w:p>
            <w:pPr/>
            <w:r>
              <w:t xml:space="preserve">Chaque entrée du support chez un client</w:t>
            </w:r>
          </w:p>
        </w:tc>
      </w:tr>
      <w:tr>
        <w:tc>
          <w:tcPr>
            <w:tcW w:w="3120" w:type="dxa"/>
          </w:tcPr>
          <w:p>
            <w:pPr/>
            <w:r>
              <w:rPr>
                <w:rStyle w:val="CodeChar"/>
              </w:rPr>
              <w:t xml:space="preserve">int_api_clients</w:t>
            </w:r>
          </w:p>
        </w:tc>
        <w:tc>
          <w:tcPr>
            <w:tcW w:w="3120" w:type="dxa"/>
          </w:tcPr>
          <w:p>
            <w:pPr/>
            <w:r>
              <w:t xml:space="preserve">id, tenant_id, nom, cle_hash, scopes (json), dernier_usage_at, revoque_at</w:t>
            </w:r>
          </w:p>
        </w:tc>
        <w:tc>
          <w:tcPr>
            <w:tcW w:w="3120" w:type="dxa"/>
          </w:tcPr>
          <w:p>
            <w:pPr/>
            <w:r>
              <w:t xml:space="preserve">Applications externes (mobile, passerelle Access)</w:t>
            </w:r>
          </w:p>
        </w:tc>
      </w:tr>
      <w:tr>
        <w:tc>
          <w:tcPr>
            <w:tcW w:w="3120" w:type="dxa"/>
          </w:tcPr>
          <w:p>
            <w:pPr/>
            <w:r>
              <w:rPr>
                <w:rStyle w:val="CodeChar"/>
              </w:rPr>
              <w:t xml:space="preserve">int_webhook_endpoints</w:t>
            </w:r>
          </w:p>
        </w:tc>
        <w:tc>
          <w:tcPr>
            <w:tcW w:w="3120" w:type="dxa"/>
          </w:tcPr>
          <w:p>
            <w:pPr/>
            <w:r>
              <w:t xml:space="preserve">id, tenant_id (null = interne NetByUs), url, secret, evenements (json), actif</w:t>
            </w:r>
          </w:p>
        </w:tc>
        <w:tc>
          <w:tcPr>
            <w:tcW w:w="3120" w:type="dxa"/>
          </w:tcPr>
          <w:p>
            <w:pPr/>
            <w:r>
              <w:t xml:space="preserve">Destinations des webhooks sortants</w:t>
            </w:r>
          </w:p>
        </w:tc>
      </w:tr>
      <w:tr>
        <w:tc>
          <w:tcPr>
            <w:tcW w:w="3120" w:type="dxa"/>
          </w:tcPr>
          <w:p>
            <w:pPr/>
            <w:r>
              <w:rPr>
                <w:rStyle w:val="CodeChar"/>
              </w:rPr>
              <w:t xml:space="preserve">int_webhook_deliveries</w:t>
            </w:r>
          </w:p>
        </w:tc>
        <w:tc>
          <w:tcPr>
            <w:tcW w:w="3120" w:type="dxa"/>
          </w:tcPr>
          <w:p>
            <w:pPr/>
            <w:r>
              <w:t xml:space="preserve">id, endpoint_id, evenement, payload (json), tentative, statut_http, prochain_essai_at, livre_at</w:t>
            </w:r>
          </w:p>
        </w:tc>
        <w:tc>
          <w:tcPr>
            <w:tcW w:w="3120" w:type="dxa"/>
          </w:tcPr>
          <w:p>
            <w:pPr/>
            <w:r>
              <w:t xml:space="preserve">Suivi des envois</w:t>
            </w:r>
          </w:p>
        </w:tc>
      </w:tr>
    </w:tbl>
    <w:p>
      <w:pPr>
        <w:pStyle w:val="Heading3"/>
      </w:pPr>
      <w:r>
        <w:t xml:space="preserve">Operations, annonces, audit</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Table</w:t>
            </w:r>
          </w:p>
        </w:tc>
        <w:tc>
          <w:tcPr>
            <w:tcW w:w="3120" w:type="dxa"/>
            <w:shd w:val="clear" w:color="auto" w:fill="F2F2F2"/>
          </w:tcPr>
          <w:p>
            <w:pPr/>
            <w:r>
              <w:t xml:space="preserve">Colonnes principales</w:t>
            </w:r>
          </w:p>
        </w:tc>
        <w:tc>
          <w:tcPr>
            <w:tcW w:w="3120" w:type="dxa"/>
            <w:shd w:val="clear" w:color="auto" w:fill="F2F2F2"/>
          </w:tcPr>
          <w:p>
            <w:pPr/>
            <w:r>
              <w:t xml:space="preserve">Rôle</w:t>
            </w:r>
          </w:p>
        </w:tc>
      </w:tr>
      <w:tr>
        <w:tc>
          <w:tcPr>
            <w:tcW w:w="3120" w:type="dxa"/>
          </w:tcPr>
          <w:p>
            <w:pPr/>
            <w:r>
              <w:rPr>
                <w:rStyle w:val="CodeChar"/>
              </w:rPr>
              <w:t xml:space="preserve">ops_migration_runs</w:t>
            </w:r>
          </w:p>
        </w:tc>
        <w:tc>
          <w:tcPr>
            <w:tcW w:w="3120" w:type="dxa"/>
          </w:tcPr>
          <w:p>
            <w:pPr/>
            <w:r>
              <w:t xml:space="preserve">id, version_cible, lance_par, debut, fin, statut</w:t>
            </w:r>
          </w:p>
        </w:tc>
        <w:tc>
          <w:tcPr>
            <w:tcW w:w="3120" w:type="dxa"/>
          </w:tcPr>
          <w:p>
            <w:pPr/>
            <w:r>
              <w:t xml:space="preserve">Migration lancée sur toutes les bases</w:t>
            </w:r>
          </w:p>
        </w:tc>
      </w:tr>
      <w:tr>
        <w:tc>
          <w:tcPr>
            <w:tcW w:w="3120" w:type="dxa"/>
          </w:tcPr>
          <w:p>
            <w:pPr/>
            <w:r>
              <w:rPr>
                <w:rStyle w:val="CodeChar"/>
              </w:rPr>
              <w:t xml:space="preserve">ops_migration_run_tenants</w:t>
            </w:r>
          </w:p>
        </w:tc>
        <w:tc>
          <w:tcPr>
            <w:tcW w:w="3120" w:type="dxa"/>
          </w:tcPr>
          <w:p>
            <w:pPr/>
            <w:r>
              <w:t xml:space="preserve">run_id, tenant_id, statut (</w:t>
            </w:r>
            <w:r>
              <w:rPr>
                <w:rStyle w:val="CodeChar"/>
              </w:rPr>
              <w:t xml:space="preserve">en_attente</w:t>
            </w:r>
            <w:r>
              <w:t xml:space="preserve">, </w:t>
            </w:r>
            <w:r>
              <w:rPr>
                <w:rStyle w:val="CodeChar"/>
              </w:rPr>
              <w:t xml:space="preserve">ok</w:t>
            </w:r>
            <w:r>
              <w:t xml:space="preserve">, </w:t>
            </w:r>
            <w:r>
              <w:rPr>
                <w:rStyle w:val="CodeChar"/>
              </w:rPr>
              <w:t xml:space="preserve">echec</w:t>
            </w:r>
            <w:r>
              <w:t xml:space="preserve">), erreur</w:t>
            </w:r>
          </w:p>
        </w:tc>
        <w:tc>
          <w:tcPr>
            <w:tcW w:w="3120" w:type="dxa"/>
          </w:tcPr>
          <w:p>
            <w:pPr/>
            <w:r>
              <w:t xml:space="preserve">Avancement par client</w:t>
            </w:r>
          </w:p>
        </w:tc>
      </w:tr>
      <w:tr>
        <w:tc>
          <w:tcPr>
            <w:tcW w:w="3120" w:type="dxa"/>
          </w:tcPr>
          <w:p>
            <w:pPr/>
            <w:r>
              <w:rPr>
                <w:rStyle w:val="CodeChar"/>
              </w:rPr>
              <w:t xml:space="preserve">ops_backups</w:t>
            </w:r>
          </w:p>
        </w:tc>
        <w:tc>
          <w:tcPr>
            <w:tcW w:w="3120" w:type="dxa"/>
          </w:tcPr>
          <w:p>
            <w:pPr/>
            <w:r>
              <w:t xml:space="preserve">id, tenant_id, chemin, taille, statut, fait_at</w:t>
            </w:r>
          </w:p>
        </w:tc>
        <w:tc>
          <w:tcPr>
            <w:tcW w:w="3120" w:type="dxa"/>
          </w:tcPr>
          <w:p>
            <w:pPr/>
            <w:r>
              <w:t xml:space="preserve">Sauvegardes suivies</w:t>
            </w:r>
          </w:p>
        </w:tc>
      </w:tr>
      <w:tr>
        <w:tc>
          <w:tcPr>
            <w:tcW w:w="3120" w:type="dxa"/>
          </w:tcPr>
          <w:p>
            <w:pPr/>
            <w:r>
              <w:rPr>
                <w:rStyle w:val="CodeChar"/>
              </w:rPr>
              <w:t xml:space="preserve">ann_announcements</w:t>
            </w:r>
          </w:p>
        </w:tc>
        <w:tc>
          <w:tcPr>
            <w:tcW w:w="3120" w:type="dxa"/>
          </w:tcPr>
          <w:p>
            <w:pPr/>
            <w:r>
              <w:t xml:space="preserve">id, titre, corps, type (</w:t>
            </w:r>
            <w:r>
              <w:rPr>
                <w:rStyle w:val="CodeChar"/>
              </w:rPr>
              <w:t xml:space="preserve">nouveaute</w:t>
            </w:r>
            <w:r>
              <w:t xml:space="preserve">, </w:t>
            </w:r>
            <w:r>
              <w:rPr>
                <w:rStyle w:val="CodeChar"/>
              </w:rPr>
              <w:t xml:space="preserve">maintenance</w:t>
            </w:r>
            <w:r>
              <w:t xml:space="preserve">), cible (json : formules, modules, clients), debut, fin</w:t>
            </w:r>
          </w:p>
        </w:tc>
        <w:tc>
          <w:tcPr>
            <w:tcW w:w="3120" w:type="dxa"/>
          </w:tcPr>
          <w:p>
            <w:pPr/>
            <w:r>
              <w:t xml:space="preserve">Annonces</w:t>
            </w:r>
          </w:p>
        </w:tc>
      </w:tr>
      <w:tr>
        <w:tc>
          <w:tcPr>
            <w:tcW w:w="3120" w:type="dxa"/>
          </w:tcPr>
          <w:p>
            <w:pPr/>
            <w:r>
              <w:rPr>
                <w:rStyle w:val="CodeChar"/>
              </w:rPr>
              <w:t xml:space="preserve">ann_reads</w:t>
            </w:r>
          </w:p>
        </w:tc>
        <w:tc>
          <w:tcPr>
            <w:tcW w:w="3120" w:type="dxa"/>
          </w:tcPr>
          <w:p>
            <w:pPr/>
            <w:r>
              <w:t xml:space="preserve">announcement_id, tenant_id, user_id, lu_at</w:t>
            </w:r>
          </w:p>
        </w:tc>
        <w:tc>
          <w:tcPr>
            <w:tcW w:w="3120" w:type="dxa"/>
          </w:tcPr>
          <w:p>
            <w:pPr/>
            <w:r>
              <w:t xml:space="preserve">Lectures</w:t>
            </w:r>
          </w:p>
        </w:tc>
      </w:tr>
      <w:tr>
        <w:tc>
          <w:tcPr>
            <w:tcW w:w="3120" w:type="dxa"/>
          </w:tcPr>
          <w:p>
            <w:pPr/>
            <w:r>
              <w:rPr>
                <w:rStyle w:val="CodeChar"/>
              </w:rPr>
              <w:t xml:space="preserve">aud_logs</w:t>
            </w:r>
          </w:p>
        </w:tc>
        <w:tc>
          <w:tcPr>
            <w:tcW w:w="3120" w:type="dxa"/>
          </w:tcPr>
          <w:p>
            <w:pPr/>
            <w:r>
              <w:t xml:space="preserve">id, acteur_type, acteur_id, action, cible_type, cible_id, tenant_id, avant (json), apres (json), ip, created_at</w:t>
            </w:r>
          </w:p>
        </w:tc>
        <w:tc>
          <w:tcPr>
            <w:tcW w:w="3120" w:type="dxa"/>
          </w:tcPr>
          <w:p>
            <w:pPr/>
            <w:r>
              <w:t xml:space="preserve">Journal central, en ajout seul</w:t>
            </w:r>
          </w:p>
        </w:tc>
      </w:tr>
    </w:tbl>
    <w:p>
      <w:pPr>
        <w:pStyle w:val="Heading2"/>
      </w:pPr>
      <w:r>
        <w:t xml:space="preserve">Schéma des relations entre tables</w:t>
      </w:r>
    </w:p>
    <w:p>
      <w:pPr/>
      <w:r>
        <w:drawing>
          <wp:inline distT="0" distB="0" distL="0" distR="0">
            <wp:extent cx="5486400" cy="5600700"/>
            <wp:docPr id="2" name="image2" descr="relations entre les tables principales de la base centrale"/>
            <a:graphic xmlns:a="http://schemas.openxmlformats.org/drawingml/2006/main">
              <a:graphicData uri="http://schemas.openxmlformats.org/drawingml/2006/picture">
                <pic:pic xmlns:pic="http://schemas.openxmlformats.org/drawingml/2006/picture">
                  <pic:nvPicPr>
                    <pic:cNvPr id="2" name="image2" descr="relations entre les tables principales de la base centrale"/>
                    <pic:cNvPicPr/>
                  </pic:nvPicPr>
                  <pic:blipFill>
                    <a:blip r:embed="rId4"/>
                    <a:stretch>
                      <a:fillRect/>
                    </a:stretch>
                  </pic:blipFill>
                  <pic:spPr>
                    <a:xfrm>
                      <a:off x="0" y="0"/>
                      <a:ext cx="5486400" cy="5600700"/>
                    </a:xfrm>
                    <a:prstGeom prst="rect">
                      <a:avLst/>
                    </a:prstGeom>
                  </pic:spPr>
                </pic:pic>
              </a:graphicData>
            </a:graphic>
          </wp:inline>
        </w:drawing>
      </w:r>
    </w:p>
    <w:p>
      <w:pPr/>
      <w:r>
        <w:t xml:space="preserve">relations entre les tables principales de la base centrale</w:t>
      </w:r>
    </w:p>
    <w:p>
      <w:pPr/>
      <w:r>
        <w:t xml:space="preserve">Un client a un seul abonnement ; le catalogue est commun à tous et n'est référencé que par clé (</w:t>
      </w:r>
      <w:r>
        <w:rPr>
          <w:rStyle w:val="CodeChar"/>
        </w:rPr>
        <w:t xml:space="preserve">plan_id</w:t>
      </w:r>
      <w:r>
        <w:t xml:space="preserve">, </w:t>
      </w:r>
      <w:r>
        <w:rPr>
          <w:rStyle w:val="CodeChar"/>
        </w:rPr>
        <w:t xml:space="preserve">module_key</w:t>
      </w:r>
      <w:r>
        <w:t xml:space="preserve">, </w:t>
      </w:r>
      <w:r>
        <w:rPr>
          <w:rStyle w:val="CodeChar"/>
        </w:rPr>
        <w:t xml:space="preserve">option_id</w:t>
      </w:r>
      <w:r>
        <w:t xml:space="preserve">). Les grilles tarifaires, promotions et tables d'opérations sont décrites dans la section précédente.</w:t>
      </w:r>
    </w:p>
    <w:p>
      <w:pPr>
        <w:pStyle w:val="Heading2"/>
      </w:pPr>
      <w:r>
        <w:t xml:space="preserve">État publié par la console</w:t>
      </w:r>
    </w:p>
    <w:p>
      <w:pPr/>
      <w:r>
        <w:t xml:space="preserve">Après chaque réconciliation, la console écrit dans Redis l'état de chaque client ; c'est la seule sortie de la console vers l'extérieur, en dehors de ses API.</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Clé</w:t>
            </w:r>
          </w:p>
        </w:tc>
        <w:tc>
          <w:tcPr>
            <w:tcW w:w="4680" w:type="dxa"/>
            <w:shd w:val="clear" w:color="auto" w:fill="F2F2F2"/>
          </w:tcPr>
          <w:p>
            <w:pPr/>
            <w:r>
              <w:t xml:space="preserve">Contenu</w:t>
            </w:r>
          </w:p>
        </w:tc>
      </w:tr>
      <w:tr>
        <w:tc>
          <w:tcPr>
            <w:tcW w:w="4680" w:type="dxa"/>
          </w:tcPr>
          <w:p>
            <w:pPr/>
            <w:r>
              <w:rPr>
                <w:rStyle w:val="CodeChar"/>
              </w:rPr>
              <w:t xml:space="preserve">tenant:{cle}:etat</w:t>
            </w:r>
          </w:p>
        </w:tc>
        <w:tc>
          <w:tcPr>
            <w:tcW w:w="4680" w:type="dxa"/>
          </w:tcPr>
          <w:p>
            <w:pPr/>
            <w:r>
              <w:rPr>
                <w:rStyle w:val="CodeChar"/>
              </w:rPr>
              <w:t xml:space="preserve">active</w:t>
            </w:r>
            <w:r>
              <w:t xml:space="preserve">, </w:t>
            </w:r>
            <w:r>
              <w:rPr>
                <w:rStyle w:val="CodeChar"/>
              </w:rPr>
              <w:t xml:space="preserve">essai</w:t>
            </w:r>
            <w:r>
              <w:t xml:space="preserve">, </w:t>
            </w:r>
            <w:r>
              <w:rPr>
                <w:rStyle w:val="CodeChar"/>
              </w:rPr>
              <w:t xml:space="preserve">grace</w:t>
            </w:r>
            <w:r>
              <w:t xml:space="preserve">, </w:t>
            </w:r>
            <w:r>
              <w:rPr>
                <w:rStyle w:val="CodeChar"/>
              </w:rPr>
              <w:t xml:space="preserve">suspendue</w:t>
            </w:r>
            <w:r>
              <w:t xml:space="preserve">…</w:t>
            </w:r>
          </w:p>
        </w:tc>
      </w:tr>
      <w:tr>
        <w:tc>
          <w:tcPr>
            <w:tcW w:w="4680" w:type="dxa"/>
          </w:tcPr>
          <w:p>
            <w:pPr/>
            <w:r>
              <w:rPr>
                <w:rStyle w:val="CodeChar"/>
              </w:rPr>
              <w:t xml:space="preserve">tenant:{cle}:modules</w:t>
            </w:r>
          </w:p>
        </w:tc>
        <w:tc>
          <w:tcPr>
            <w:tcW w:w="4680" w:type="dxa"/>
          </w:tcPr>
          <w:p>
            <w:pPr/>
            <w:r>
              <w:t xml:space="preserve">Modules actifs (choisis + requis + ponts + extensions)</w:t>
            </w:r>
          </w:p>
        </w:tc>
      </w:tr>
      <w:tr>
        <w:tc>
          <w:tcPr>
            <w:tcW w:w="4680" w:type="dxa"/>
          </w:tcPr>
          <w:p>
            <w:pPr/>
            <w:r>
              <w:rPr>
                <w:rStyle w:val="CodeChar"/>
              </w:rPr>
              <w:t xml:space="preserve">tenant:{cle}:capacites</w:t>
            </w:r>
          </w:p>
        </w:tc>
        <w:tc>
          <w:tcPr>
            <w:tcW w:w="4680" w:type="dxa"/>
          </w:tcPr>
          <w:p>
            <w:pPr/>
            <w:r>
              <w:t xml:space="preserve">Capacités actives</w:t>
            </w:r>
          </w:p>
        </w:tc>
      </w:tr>
      <w:tr>
        <w:tc>
          <w:tcPr>
            <w:tcW w:w="4680" w:type="dxa"/>
          </w:tcPr>
          <w:p>
            <w:pPr/>
            <w:r>
              <w:rPr>
                <w:rStyle w:val="CodeChar"/>
              </w:rPr>
              <w:t xml:space="preserve">tenant:{cle}:quotas</w:t>
            </w:r>
          </w:p>
        </w:tc>
        <w:tc>
          <w:tcPr>
            <w:tcW w:w="4680" w:type="dxa"/>
          </w:tcPr>
          <w:p>
            <w:pPr/>
            <w:r>
              <w:rPr>
                <w:rStyle w:val="CodeChar"/>
              </w:rPr>
              <w:t xml:space="preserve">{complets_max, legers_max, max_modules}</w:t>
            </w:r>
          </w:p>
        </w:tc>
      </w:tr>
      <w:tr>
        <w:tc>
          <w:tcPr>
            <w:tcW w:w="4680" w:type="dxa"/>
          </w:tcPr>
          <w:p>
            <w:pPr/>
            <w:r>
              <w:rPr>
                <w:rStyle w:val="CodeChar"/>
              </w:rPr>
              <w:t xml:space="preserve">tenant:{cle}:version</w:t>
            </w:r>
          </w:p>
        </w:tc>
        <w:tc>
          <w:tcPr>
            <w:tcW w:w="4680" w:type="dxa"/>
          </w:tcPr>
          <w:p>
            <w:pPr/>
            <w:r>
              <w:t xml:space="preserve">Entier incrémenté à chaque changement</w:t>
            </w:r>
          </w:p>
        </w:tc>
      </w:tr>
    </w:tbl>
    <w:p>
      <w:pPr/>
      <w:r>
        <w:t xml:space="preserve">Les clés n'expirent pas ; chaque réconciliation les réécrit. Si Redis est vidé, un job de la console les reconstruit depuis </w:t>
      </w:r>
      <w:r>
        <w:rPr>
          <w:rStyle w:val="CodeChar"/>
        </w:rPr>
        <w:t xml:space="preserve">act_tenant_modules</w:t>
      </w:r>
      <w:r>
        <w:t xml:space="preserve"> et </w:t>
      </w:r>
      <w:r>
        <w:rPr>
          <w:rStyle w:val="CodeChar"/>
        </w:rPr>
        <w:t xml:space="preserve">act_tenant_capabilities</w:t>
      </w:r>
      <w:r>
        <w:t xml:space="preserve">.</w:t>
      </w:r>
    </w:p>
    <w:p>
      <w:pPr>
        <w:pStyle w:val="Heading2"/>
      </w:pPr>
      <w:r>
        <w:t xml:space="preserve">Comportements détaillés</w:t>
      </w:r>
    </w:p>
    <w:p>
      <w:pPr/>
      <w:r>
        <w:t xml:space="preserve">Chaque changement suit le même chemin : une commande ou une action d'agent modifie l'abonnement, puis le réconciliateur applique. Les étapes ci-dessous sont rejouables sans risque.</w:t>
      </w:r>
    </w:p>
    <w:p>
      <w:pPr>
        <w:pStyle w:val="Heading3"/>
      </w:pPr>
      <w:r>
        <w:t xml:space="preserve">Souscription d'un nouveau client</w:t>
      </w:r>
    </w:p>
    <w:p>
      <w:pPr>
        <w:pStyle w:val="ListParagraph"/>
        <w:numPr>
          <w:ilvl w:val="0"/>
          <w:numId w:val="5"/>
        </w:numPr>
      </w:pPr>
      <w:r>
        <w:t xml:space="preserve">Le visiteur choisit une formule, un nombre d'utilisateurs et ses modules ; chaque changement appelle </w:t>
      </w:r>
      <w:r>
        <w:rPr>
          <w:rStyle w:val="CodeChar"/>
        </w:rPr>
        <w:t xml:space="preserve">POST /api/tarifs/devis</w:t>
      </w:r>
      <w:r>
        <w:t xml:space="preserve"> et </w:t>
      </w:r>
      <w:r>
        <w:rPr>
          <w:rStyle w:val="CodeChar"/>
        </w:rPr>
        <w:t xml:space="preserve">CalculateurPrix</w:t>
      </w:r>
      <w:r>
        <w:t xml:space="preserve"> renvoie le prix.</w:t>
      </w:r>
    </w:p>
    <w:p>
      <w:pPr>
        <w:pStyle w:val="ListParagraph"/>
        <w:numPr>
          <w:ilvl w:val="0"/>
          <w:numId w:val="5"/>
        </w:numPr>
      </w:pPr>
      <w:r>
        <w:t xml:space="preserve">Il crée son compte : </w:t>
      </w:r>
      <w:r>
        <w:rPr>
          <w:rStyle w:val="CodeChar"/>
        </w:rPr>
        <w:t xml:space="preserve">tenants</w:t>
      </w:r>
      <w:r>
        <w:t xml:space="preserve"> (état </w:t>
      </w:r>
      <w:r>
        <w:rPr>
          <w:rStyle w:val="CodeChar"/>
        </w:rPr>
        <w:t xml:space="preserve">provisionnement</w:t>
      </w:r>
      <w:r>
        <w:t xml:space="preserve">) et </w:t>
      </w:r>
      <w:r>
        <w:rPr>
          <w:rStyle w:val="CodeChar"/>
        </w:rPr>
        <w:t xml:space="preserve">ord_orders</w:t>
      </w:r>
      <w:r>
        <w:t xml:space="preserve"> (état </w:t>
      </w:r>
      <w:r>
        <w:rPr>
          <w:rStyle w:val="CodeChar"/>
        </w:rPr>
        <w:t xml:space="preserve">a_payer</w:t>
      </w:r>
      <w:r>
        <w:t xml:space="preserve">, devis figé dans </w:t>
      </w:r>
      <w:r>
        <w:rPr>
          <w:rStyle w:val="CodeChar"/>
        </w:rPr>
        <w:t xml:space="preserve">ord_order_lines</w:t>
      </w:r>
      <w:r>
        <w:t xml:space="preserve">).</w:t>
      </w:r>
    </w:p>
    <w:p>
      <w:pPr>
        <w:pStyle w:val="ListParagraph"/>
        <w:numPr>
          <w:ilvl w:val="0"/>
          <w:numId w:val="5"/>
        </w:numPr>
      </w:pPr>
      <w:r>
        <w:t xml:space="preserve">Le job </w:t>
      </w:r>
      <w:r>
        <w:rPr>
          <w:rStyle w:val="CodeChar"/>
        </w:rPr>
        <w:t xml:space="preserve">ProvisionnerTenant</w:t>
      </w:r>
      <w:r>
        <w:t xml:space="preserve"> crée la base, joue les migrations, installe le socle et le domaine ; </w:t>
      </w:r>
      <w:r>
        <w:rPr>
          <w:rStyle w:val="CodeChar"/>
        </w:rPr>
        <w:t xml:space="preserve">tenants.etat</w:t>
      </w:r>
      <w:r>
        <w:t xml:space="preserve"> passe à </w:t>
      </w:r>
      <w:r>
        <w:rPr>
          <w:rStyle w:val="CodeChar"/>
        </w:rPr>
        <w:t xml:space="preserve">pret</w:t>
      </w:r>
      <w:r>
        <w:t xml:space="preserve">.</w:t>
      </w:r>
    </w:p>
    <w:p>
      <w:pPr>
        <w:pStyle w:val="ListParagraph"/>
        <w:numPr>
          <w:ilvl w:val="0"/>
          <w:numId w:val="5"/>
        </w:numPr>
      </w:pPr>
      <w:r>
        <w:t xml:space="preserve">Essai gratuit : </w:t>
      </w:r>
      <w:r>
        <w:rPr>
          <w:rStyle w:val="CodeChar"/>
        </w:rPr>
        <w:t xml:space="preserve">sub_subscriptions</w:t>
      </w:r>
      <w:r>
        <w:t xml:space="preserve"> est créé en </w:t>
      </w:r>
      <w:r>
        <w:rPr>
          <w:rStyle w:val="CodeChar"/>
        </w:rPr>
        <w:t xml:space="preserve">essai</w:t>
      </w:r>
      <w:r>
        <w:t xml:space="preserve">. Paiement : le webhook du fournisseur crée </w:t>
      </w:r>
      <w:r>
        <w:rPr>
          <w:rStyle w:val="CodeChar"/>
        </w:rPr>
        <w:t xml:space="preserve">bill_payments</w:t>
      </w:r>
      <w:r>
        <w:t xml:space="preserve">, marque la facture payée, et l'abonnement passe en </w:t>
      </w:r>
      <w:r>
        <w:rPr>
          <w:rStyle w:val="CodeChar"/>
        </w:rPr>
        <w:t xml:space="preserve">active</w:t>
      </w:r>
      <w:r>
        <w:t xml:space="preserve">.</w:t>
      </w:r>
    </w:p>
    <w:p>
      <w:pPr>
        <w:pStyle w:val="ListParagraph"/>
        <w:numPr>
          <w:ilvl w:val="0"/>
          <w:numId w:val="5"/>
        </w:numPr>
      </w:pPr>
      <w:r>
        <w:t xml:space="preserve">Si un module est </w:t>
      </w:r>
      <w:r>
        <w:rPr>
          <w:rStyle w:val="CodeChar"/>
        </w:rPr>
        <w:t xml:space="preserve">validation_requise</w:t>
      </w:r>
      <w:r>
        <w:t xml:space="preserve"> (Access), la commande passe en </w:t>
      </w:r>
      <w:r>
        <w:rPr>
          <w:rStyle w:val="CodeChar"/>
        </w:rPr>
        <w:t xml:space="preserve">a_valider</w:t>
      </w:r>
      <w:r>
        <w:t xml:space="preserve"> et attend un agent.</w:t>
      </w:r>
    </w:p>
    <w:p>
      <w:pPr>
        <w:pStyle w:val="ListParagraph"/>
        <w:numPr>
          <w:ilvl w:val="0"/>
          <w:numId w:val="5"/>
        </w:numPr>
      </w:pPr>
      <w:r>
        <w:rPr>
          <w:rStyle w:val="CodeChar"/>
        </w:rPr>
        <w:t xml:space="preserve">AbonnementModifie</w:t>
      </w:r>
      <w:r>
        <w:t xml:space="preserve"> déclenche la réconciliation ; l'état est publié pour le client.</w:t>
      </w:r>
    </w:p>
    <w:p>
      <w:pPr>
        <w:pStyle w:val="Heading3"/>
      </w:pPr>
      <w:r>
        <w:t xml:space="preserve">Réconciliation</w:t>
      </w:r>
    </w:p>
    <w:p>
      <w:pPr>
        <w:pStyle w:val="ListParagraph"/>
        <w:numPr>
          <w:ilvl w:val="0"/>
          <w:numId w:val="6"/>
        </w:numPr>
      </w:pPr>
      <w:r>
        <w:t xml:space="preserve">Verrouiller le client (un seul passage à la fois) et ouvrir </w:t>
      </w:r>
      <w:r>
        <w:rPr>
          <w:rStyle w:val="CodeChar"/>
        </w:rPr>
        <w:t xml:space="preserve">act_runs</w:t>
      </w:r>
      <w:r>
        <w:t xml:space="preserve">.</w:t>
      </w:r>
    </w:p>
    <w:p>
      <w:pPr>
        <w:pStyle w:val="ListParagraph"/>
        <w:numPr>
          <w:ilvl w:val="0"/>
          <w:numId w:val="6"/>
        </w:numPr>
      </w:pPr>
      <w:r>
        <w:t xml:space="preserve">Calculer l'état voulu : modules de </w:t>
      </w:r>
      <w:r>
        <w:rPr>
          <w:rStyle w:val="CodeChar"/>
        </w:rPr>
        <w:t xml:space="preserve">sub_modules</w:t>
      </w:r>
      <w:r>
        <w:t xml:space="preserve"> + leurs </w:t>
      </w:r>
      <w:r>
        <w:rPr>
          <w:rStyle w:val="CodeChar"/>
        </w:rPr>
        <w:t xml:space="preserve">requires</w:t>
      </w:r>
      <w:r>
        <w:t xml:space="preserve"> + ponts dont les deux modules sont présents + extensions de </w:t>
      </w:r>
      <w:r>
        <w:rPr>
          <w:rStyle w:val="CodeChar"/>
        </w:rPr>
        <w:t xml:space="preserve">sub_extensions</w:t>
      </w:r>
      <w:r>
        <w:t xml:space="preserve"> ; capacités de la formule ; quotas.</w:t>
      </w:r>
    </w:p>
    <w:p>
      <w:pPr>
        <w:pStyle w:val="ListParagraph"/>
        <w:numPr>
          <w:ilvl w:val="0"/>
          <w:numId w:val="6"/>
        </w:numPr>
      </w:pPr>
      <w:r>
        <w:t xml:space="preserve">Comparer avec </w:t>
      </w:r>
      <w:r>
        <w:rPr>
          <w:rStyle w:val="CodeChar"/>
        </w:rPr>
        <w:t xml:space="preserve">act_tenant_modules</w:t>
      </w:r>
      <w:r>
        <w:t xml:space="preserve"> et </w:t>
      </w:r>
      <w:r>
        <w:rPr>
          <w:rStyle w:val="CodeChar"/>
        </w:rPr>
        <w:t xml:space="preserve">act_tenant_capabilities</w:t>
      </w:r>
      <w:r>
        <w:t xml:space="preserve"> ; enregistrer la différence.</w:t>
      </w:r>
    </w:p>
    <w:p>
      <w:pPr>
        <w:pStyle w:val="ListParagraph"/>
        <w:numPr>
          <w:ilvl w:val="0"/>
          <w:numId w:val="6"/>
        </w:numPr>
      </w:pPr>
      <w:r>
        <w:t xml:space="preserve">Pour chaque module à activer, dans la base du client : droits, rôles, données de départ (seeders rejouables).</w:t>
      </w:r>
    </w:p>
    <w:p>
      <w:pPr>
        <w:pStyle w:val="ListParagraph"/>
        <w:numPr>
          <w:ilvl w:val="0"/>
          <w:numId w:val="6"/>
        </w:numPr>
      </w:pPr>
      <w:r>
        <w:t xml:space="preserve">Écrire l'état réel dans la base centrale, en dernier.</w:t>
      </w:r>
    </w:p>
    <w:p>
      <w:pPr>
        <w:pStyle w:val="ListParagraph"/>
        <w:numPr>
          <w:ilvl w:val="0"/>
          <w:numId w:val="6"/>
        </w:numPr>
      </w:pPr>
      <w:r>
        <w:t xml:space="preserve">Réécrire les clés Redis du client, incrémenter </w:t>
      </w:r>
      <w:r>
        <w:rPr>
          <w:rStyle w:val="CodeChar"/>
        </w:rPr>
        <w:t xml:space="preserve">version</w:t>
      </w:r>
      <w:r>
        <w:t xml:space="preserve">, diffuser l'événement Reverb.</w:t>
      </w:r>
    </w:p>
    <w:p>
      <w:pPr>
        <w:pStyle w:val="ListParagraph"/>
        <w:numPr>
          <w:ilvl w:val="0"/>
          <w:numId w:val="6"/>
        </w:numPr>
      </w:pPr>
      <w:r>
        <w:t xml:space="preserve">Fermer </w:t>
      </w:r>
      <w:r>
        <w:rPr>
          <w:rStyle w:val="CodeChar"/>
        </w:rPr>
        <w:t xml:space="preserve">act_runs</w:t>
      </w:r>
      <w:r>
        <w:t xml:space="preserve"> en </w:t>
      </w:r>
      <w:r>
        <w:rPr>
          <w:rStyle w:val="CodeChar"/>
        </w:rPr>
        <w:t xml:space="preserve">ok</w:t>
      </w:r>
      <w:r>
        <w:t xml:space="preserve">, ou en </w:t>
      </w:r>
      <w:r>
        <w:rPr>
          <w:rStyle w:val="CodeChar"/>
        </w:rPr>
        <w:t xml:space="preserve">echec</w:t>
      </w:r>
      <w:r>
        <w:t xml:space="preserve"> avec l'erreur ; un passage nocturne réconcilie tous les clients et signale les dérives.</w:t>
      </w:r>
    </w:p>
    <w:p>
      <w:pPr>
        <w:pStyle w:val="Heading3"/>
      </w:pPr>
      <w:r>
        <w:t xml:space="preserve">Cycle de vie</w:t>
      </w:r>
    </w:p>
    <w:p>
      <w:pPr/>
      <w:r>
        <w:drawing>
          <wp:inline distT="0" distB="0" distL="0" distR="0">
            <wp:extent cx="5486400" cy="2710542"/>
            <wp:docPr id="3" name="image3" descr="cycle de vie d'un abonnement · 6 états"/>
            <a:graphic xmlns:a="http://schemas.openxmlformats.org/drawingml/2006/main">
              <a:graphicData uri="http://schemas.openxmlformats.org/drawingml/2006/picture">
                <pic:pic xmlns:pic="http://schemas.openxmlformats.org/drawingml/2006/picture">
                  <pic:nvPicPr>
                    <pic:cNvPr id="3" name="image3" descr="cycle de vie d'un abonnement · 6 états"/>
                    <pic:cNvPicPr/>
                  </pic:nvPicPr>
                  <pic:blipFill>
                    <a:blip r:embed="rId5"/>
                    <a:stretch>
                      <a:fillRect/>
                    </a:stretch>
                  </pic:blipFill>
                  <pic:spPr>
                    <a:xfrm>
                      <a:off x="0" y="0"/>
                      <a:ext cx="5486400" cy="2710542"/>
                    </a:xfrm>
                    <a:prstGeom prst="rect">
                      <a:avLst/>
                    </a:prstGeom>
                  </pic:spPr>
                </pic:pic>
              </a:graphicData>
            </a:graphic>
          </wp:inline>
        </w:drawing>
      </w:r>
    </w:p>
    <w:p>
      <w:pPr/>
      <w:r>
        <w:t xml:space="preserve">cycle de vie d'un abonnement · 6 états</w:t>
      </w:r>
    </w:p>
    <w:p>
      <w:pPr/>
      <w:r>
        <w:t xml:space="preserve">Une tâche planifiée quotidienne fait avancer les états ; chaque transition écrit un </w:t>
      </w:r>
      <w:r>
        <w:rPr>
          <w:rStyle w:val="CodeChar"/>
        </w:rPr>
        <w:t xml:space="preserve">sub_events</w:t>
      </w:r>
      <w:r>
        <w:t xml:space="preserve">, envoie un webhook et notifie le client. Un client suspendu garde l'accès à « Mon abonnement » pour payer et à l'export de ses données.</w:t>
      </w:r>
    </w:p>
    <w:p>
      <w:pPr>
        <w:pStyle w:val="Heading3"/>
      </w:pPr>
      <w:r>
        <w:t xml:space="preserve">Changer de formule, de modules ou d'utilisateurs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Changement</w:t>
            </w:r>
          </w:p>
        </w:tc>
        <w:tc>
          <w:tcPr>
            <w:tcW w:w="3120" w:type="dxa"/>
            <w:shd w:val="clear" w:color="auto" w:fill="F2F2F2"/>
          </w:tcPr>
          <w:p>
            <w:pPr/>
            <w:r>
              <w:t xml:space="preserve">Effet</w:t>
            </w:r>
          </w:p>
        </w:tc>
        <w:tc>
          <w:tcPr>
            <w:tcW w:w="3120" w:type="dxa"/>
            <w:shd w:val="clear" w:color="auto" w:fill="F2F2F2"/>
          </w:tcPr>
          <w:p>
            <w:pPr/>
            <w:r>
              <w:t xml:space="preserve">Paiement</w:t>
            </w:r>
          </w:p>
        </w:tc>
      </w:tr>
      <w:tr>
        <w:tc>
          <w:tcPr>
            <w:tcW w:w="3120" w:type="dxa"/>
          </w:tcPr>
          <w:p>
            <w:pPr/>
            <w:r>
              <w:t xml:space="preserve">Montée de formule (Gratuit → Standard → Entreprise)</w:t>
            </w:r>
          </w:p>
        </w:tc>
        <w:tc>
          <w:tcPr>
            <w:tcW w:w="3120" w:type="dxa"/>
          </w:tcPr>
          <w:p>
            <w:pPr/>
            <w:r>
              <w:t xml:space="preserve">Immédiat : modules et capacités ajoutés</w:t>
            </w:r>
          </w:p>
        </w:tc>
        <w:tc>
          <w:tcPr>
            <w:tcW w:w="3120" w:type="dxa"/>
          </w:tcPr>
          <w:p>
            <w:pPr/>
            <w:r>
              <w:t xml:space="preserve">Prorata jusqu'à l'échéance</w:t>
            </w:r>
          </w:p>
        </w:tc>
      </w:tr>
      <w:tr>
        <w:tc>
          <w:tcPr>
            <w:tcW w:w="3120" w:type="dxa"/>
          </w:tcPr>
          <w:p>
            <w:pPr/>
            <w:r>
              <w:t xml:space="preserve">Descente Standard → Gratuit</w:t>
            </w:r>
          </w:p>
        </w:tc>
        <w:tc>
          <w:tcPr>
            <w:tcW w:w="3120" w:type="dxa"/>
          </w:tcPr>
          <w:p>
            <w:pPr/>
            <w:r>
              <w:t xml:space="preserve">Le client choisit le module gardé ; les autres sont désactivés à l'échéance</w:t>
            </w:r>
          </w:p>
        </w:tc>
        <w:tc>
          <w:tcPr>
            <w:tcW w:w="3120" w:type="dxa"/>
          </w:tcPr>
          <w:p>
            <w:pPr/>
            <w:r>
              <w:t xml:space="preserve">Aucun remboursement</w:t>
            </w:r>
          </w:p>
        </w:tc>
      </w:tr>
      <w:tr>
        <w:tc>
          <w:tcPr>
            <w:tcW w:w="3120" w:type="dxa"/>
          </w:tcPr>
          <w:p>
            <w:pPr/>
            <w:r>
              <w:t xml:space="preserve">Descente Entreprise → Standard</w:t>
            </w:r>
          </w:p>
        </w:tc>
        <w:tc>
          <w:tcPr>
            <w:tcW w:w="3120" w:type="dxa"/>
          </w:tcPr>
          <w:p>
            <w:pPr/>
            <w:r>
              <w:t xml:space="preserve">Capacités retirées à l'échéance ; sociétés supplémentaires en lecture seule</w:t>
            </w:r>
          </w:p>
        </w:tc>
        <w:tc>
          <w:tcPr>
            <w:tcW w:w="3120" w:type="dxa"/>
          </w:tcPr>
          <w:p>
            <w:pPr/>
            <w:r>
              <w:t xml:space="preserve">Aucun remboursement</w:t>
            </w:r>
          </w:p>
        </w:tc>
      </w:tr>
      <w:tr>
        <w:tc>
          <w:tcPr>
            <w:tcW w:w="3120" w:type="dxa"/>
          </w:tcPr>
          <w:p>
            <w:pPr/>
            <w:r>
              <w:t xml:space="preserve">Ajout d'un module (Standard, Entreprise)</w:t>
            </w:r>
          </w:p>
        </w:tc>
        <w:tc>
          <w:tcPr>
            <w:tcW w:w="3120" w:type="dxa"/>
          </w:tcPr>
          <w:p>
            <w:pPr/>
            <w:r>
              <w:t xml:space="preserve">Immédiat</w:t>
            </w:r>
          </w:p>
        </w:tc>
        <w:tc>
          <w:tcPr>
            <w:tcW w:w="3120" w:type="dxa"/>
          </w:tcPr>
          <w:p>
            <w:pPr/>
            <w:r>
              <w:t xml:space="preserve">Gratuit, inclus dans la formule</w:t>
            </w:r>
          </w:p>
        </w:tc>
      </w:tr>
      <w:tr>
        <w:tc>
          <w:tcPr>
            <w:tcW w:w="3120" w:type="dxa"/>
          </w:tcPr>
          <w:p>
            <w:pPr/>
            <w:r>
              <w:t xml:space="preserve">Retrait d'un module</w:t>
            </w:r>
          </w:p>
        </w:tc>
        <w:tc>
          <w:tcPr>
            <w:tcW w:w="3120" w:type="dxa"/>
          </w:tcPr>
          <w:p>
            <w:pPr/>
            <w:r>
              <w:t xml:space="preserve">À l'échéance ; refusé s'il est requis par un module actif ; données conservées</w:t>
            </w:r>
          </w:p>
        </w:tc>
        <w:tc>
          <w:tcPr>
            <w:tcW w:w="3120" w:type="dxa"/>
          </w:tcPr>
          <w:p>
            <w:pPr/>
            <w:r>
              <w:t xml:space="preserve">—</w:t>
            </w:r>
          </w:p>
        </w:tc>
      </w:tr>
      <w:tr>
        <w:tc>
          <w:tcPr>
            <w:tcW w:w="3120" w:type="dxa"/>
          </w:tcPr>
          <w:p>
            <w:pPr/>
            <w:r>
              <w:t xml:space="preserve">Ajout d'utilisateurs ou d'options</w:t>
            </w:r>
          </w:p>
        </w:tc>
        <w:tc>
          <w:tcPr>
            <w:tcW w:w="3120" w:type="dxa"/>
          </w:tcPr>
          <w:p>
            <w:pPr/>
            <w:r>
              <w:t xml:space="preserve">Immédiat</w:t>
            </w:r>
          </w:p>
        </w:tc>
        <w:tc>
          <w:tcPr>
            <w:tcW w:w="3120" w:type="dxa"/>
          </w:tcPr>
          <w:p>
            <w:pPr/>
            <w:r>
              <w:t xml:space="preserve">Prorata jusqu'à l'échéance</w:t>
            </w:r>
          </w:p>
        </w:tc>
      </w:tr>
      <w:tr>
        <w:tc>
          <w:tcPr>
            <w:tcW w:w="3120" w:type="dxa"/>
          </w:tcPr>
          <w:p>
            <w:pPr/>
            <w:r>
              <w:t xml:space="preserve">Retrait d'utilisateurs ou d'options</w:t>
            </w:r>
          </w:p>
        </w:tc>
        <w:tc>
          <w:tcPr>
            <w:tcW w:w="3120" w:type="dxa"/>
          </w:tcPr>
          <w:p>
            <w:pPr/>
            <w:r>
              <w:t xml:space="preserve">À l'échéance</w:t>
            </w:r>
          </w:p>
        </w:tc>
        <w:tc>
          <w:tcPr>
            <w:tcW w:w="3120" w:type="dxa"/>
          </w:tcPr>
          <w:p>
            <w:pPr/>
            <w:r>
              <w:t xml:space="preserve">Aucun remboursement</w:t>
            </w:r>
          </w:p>
        </w:tc>
      </w:tr>
    </w:tbl>
    <w:p>
      <w:pPr>
        <w:pStyle w:val="Heading3"/>
      </w:pPr>
      <w:r>
        <w:t xml:space="preserve">Quotas d'utilisateurs</w:t>
      </w:r>
    </w:p>
    <w:p>
      <w:pPr/>
      <w:r>
        <w:t xml:space="preserve">La console fixe pour chaque abonnement le quota d'utilisateurs complets et légers, et le publie dans Redis. Au-delà, la création est refusée avec un lien vers « Mon abonnement » pour en acheter (proposition par défaut, à confirmer). La formule Gratuite n'a pas de quota d'utilisateurs, seulement la limite d'un module.</w:t>
      </w:r>
    </w:p>
    <w:p>
      <w:pPr>
        <w:pStyle w:val="Heading2"/>
      </w:pPr>
      <w:r>
        <w:t xml:space="preserve">Sécurité et audit</w:t>
      </w:r>
    </w:p>
    <w:p>
      <w:pPr/>
      <w:r>
        <w:t xml:space="preserve">La console peut agir sur tous les clients : chaque action est authentifiée par un compte NetByUs nominatif, limitée par son rôle et tracée dans </w:t>
      </w:r>
      <w:r>
        <w:rPr>
          <w:rStyle w:val="CodeChar"/>
        </w:rPr>
        <w:t xml:space="preserve">aud_logs</w:t>
      </w:r>
      <w:r>
        <w:t xml:space="preserv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Sujet</w:t>
            </w:r>
          </w:p>
        </w:tc>
        <w:tc>
          <w:tcPr>
            <w:tcW w:w="4680" w:type="dxa"/>
            <w:shd w:val="clear" w:color="auto" w:fill="F2F2F2"/>
          </w:tcPr>
          <w:p>
            <w:pPr/>
            <w:r>
              <w:t xml:space="preserve">Règle</w:t>
            </w:r>
          </w:p>
        </w:tc>
      </w:tr>
      <w:tr>
        <w:tc>
          <w:tcPr>
            <w:tcW w:w="4680" w:type="dxa"/>
          </w:tcPr>
          <w:p>
            <w:pPr/>
            <w:r>
              <w:t xml:space="preserve">Connexion</w:t>
            </w:r>
          </w:p>
        </w:tc>
        <w:tc>
          <w:tcPr>
            <w:tcW w:w="4680" w:type="dxa"/>
          </w:tcPr>
          <w:p>
            <w:pPr/>
            <w:r>
              <w:t xml:space="preserve">Guard </w:t>
            </w:r>
            <w:r>
              <w:rPr>
                <w:rStyle w:val="CodeChar"/>
              </w:rPr>
              <w:t xml:space="preserve">staff</w:t>
            </w:r>
            <w:r>
              <w:t xml:space="preserve"> séparé, sessions et cookies propres à </w:t>
            </w:r>
            <w:r>
              <w:rPr>
                <w:rStyle w:val="CodeChar"/>
              </w:rPr>
              <w:t xml:space="preserve">admin.byplus.io</w:t>
            </w:r>
            <w:r>
              <w:t xml:space="preserve"> ; un compte client ne peut jamais s'y connecter</w:t>
            </w:r>
          </w:p>
        </w:tc>
      </w:tr>
      <w:tr>
        <w:tc>
          <w:tcPr>
            <w:tcW w:w="4680" w:type="dxa"/>
          </w:tcPr>
          <w:p>
            <w:pPr/>
            <w:r>
              <w:t xml:space="preserve">Double facteur</w:t>
            </w:r>
          </w:p>
        </w:tc>
        <w:tc>
          <w:tcPr>
            <w:tcW w:w="4680" w:type="dxa"/>
          </w:tcPr>
          <w:p>
            <w:pPr/>
            <w:r>
              <w:t xml:space="preserve">2FA obligatoire pour tous les agents ; restriction d'IP ou VPN pour </w:t>
            </w:r>
            <w:r>
              <w:rPr>
                <w:rStyle w:val="CodeChar"/>
              </w:rPr>
              <w:t xml:space="preserve">super_admin</w:t>
            </w:r>
            <w:r>
              <w:t xml:space="preserve">, </w:t>
            </w:r>
            <w:r>
              <w:rPr>
                <w:rStyle w:val="CodeChar"/>
              </w:rPr>
              <w:t xml:space="preserve">finance</w:t>
            </w:r>
            <w:r>
              <w:t xml:space="preserve">, </w:t>
            </w:r>
            <w:r>
              <w:rPr>
                <w:rStyle w:val="CodeChar"/>
              </w:rPr>
              <w:t xml:space="preserve">ops</w:t>
            </w:r>
          </w:p>
        </w:tc>
      </w:tr>
      <w:tr>
        <w:tc>
          <w:tcPr>
            <w:tcW w:w="4680" w:type="dxa"/>
          </w:tcPr>
          <w:p>
            <w:pPr/>
            <w:r>
              <w:t xml:space="preserve">Rôles</w:t>
            </w:r>
          </w:p>
        </w:tc>
        <w:tc>
          <w:tcPr>
            <w:tcW w:w="4680" w:type="dxa"/>
          </w:tcPr>
          <w:p>
            <w:pPr/>
            <w:r>
              <w:rPr>
                <w:rStyle w:val="CodeChar"/>
              </w:rPr>
              <w:t xml:space="preserve">commercial</w:t>
            </w:r>
            <w:r>
              <w:t xml:space="preserve"> : clients, abonnements, commandes · </w:t>
            </w:r>
            <w:r>
              <w:rPr>
                <w:rStyle w:val="CodeChar"/>
              </w:rPr>
              <w:t xml:space="preserve">support</w:t>
            </w:r>
            <w:r>
              <w:t xml:space="preserve"> : tickets, lecture des abonnements · </w:t>
            </w:r>
            <w:r>
              <w:rPr>
                <w:rStyle w:val="CodeChar"/>
              </w:rPr>
              <w:t xml:space="preserve">finance</w:t>
            </w:r>
            <w:r>
              <w:t xml:space="preserve"> : factures, paiements · </w:t>
            </w:r>
            <w:r>
              <w:rPr>
                <w:rStyle w:val="CodeChar"/>
              </w:rPr>
              <w:t xml:space="preserve">ops</w:t>
            </w:r>
            <w:r>
              <w:t xml:space="preserve"> : migrations, sauvegardes · </w:t>
            </w:r>
            <w:r>
              <w:rPr>
                <w:rStyle w:val="CodeChar"/>
              </w:rPr>
              <w:t xml:space="preserve">super_admin</w:t>
            </w:r>
            <w:r>
              <w:t xml:space="preserve"> : tout</w:t>
            </w:r>
          </w:p>
        </w:tc>
      </w:tr>
      <w:tr>
        <w:tc>
          <w:tcPr>
            <w:tcW w:w="4680" w:type="dxa"/>
          </w:tcPr>
          <w:p>
            <w:pPr/>
            <w:r>
              <w:t xml:space="preserve">Double validation</w:t>
            </w:r>
          </w:p>
        </w:tc>
        <w:tc>
          <w:tcPr>
            <w:tcW w:w="4680" w:type="dxa"/>
          </w:tcPr>
          <w:p>
            <w:pPr/>
            <w:r>
              <w:t xml:space="preserve">Archivage d'un client, suppression de données, publication d'une grille tarifaire, remise supérieure à un seuil</w:t>
            </w:r>
          </w:p>
        </w:tc>
      </w:tr>
      <w:tr>
        <w:tc>
          <w:tcPr>
            <w:tcW w:w="4680" w:type="dxa"/>
          </w:tcPr>
          <w:p>
            <w:pPr/>
            <w:r>
              <w:t xml:space="preserve">Accès chez un client</w:t>
            </w:r>
          </w:p>
        </w:tc>
        <w:tc>
          <w:tcPr>
            <w:tcW w:w="4680" w:type="dxa"/>
          </w:tcPr>
          <w:p>
            <w:pPr/>
            <w:r>
              <w:t xml:space="preserve">Uniquement avec un accès accordé par l'administrateur du client (</w:t>
            </w:r>
            <w:r>
              <w:rPr>
                <w:rStyle w:val="CodeChar"/>
              </w:rPr>
              <w:t xml:space="preserve">acc_support_grants</w:t>
            </w:r>
            <w:r>
              <w:t xml:space="preserve">), limité dans le temps ; tracé dans </w:t>
            </w:r>
            <w:r>
              <w:rPr>
                <w:rStyle w:val="CodeChar"/>
              </w:rPr>
              <w:t xml:space="preserve">aud_logs</w:t>
            </w:r>
            <w:r>
              <w:t xml:space="preserve"> et dans le journal du client</w:t>
            </w:r>
          </w:p>
        </w:tc>
      </w:tr>
      <w:tr>
        <w:tc>
          <w:tcPr>
            <w:tcW w:w="4680" w:type="dxa"/>
          </w:tcPr>
          <w:p>
            <w:pPr/>
            <w:r>
              <w:t xml:space="preserve">Données métier</w:t>
            </w:r>
          </w:p>
        </w:tc>
        <w:tc>
          <w:tcPr>
            <w:tcW w:w="4680" w:type="dxa"/>
          </w:tcPr>
          <w:p>
            <w:pPr/>
            <w:r>
              <w:t xml:space="preserve">La console ne lit aucune table métier (Deptrac) et n'a pas d'identifiants vers les bases clients hors provisionnement et migrations</w:t>
            </w:r>
          </w:p>
        </w:tc>
      </w:tr>
      <w:tr>
        <w:tc>
          <w:tcPr>
            <w:tcW w:w="4680" w:type="dxa"/>
          </w:tcPr>
          <w:p>
            <w:pPr/>
            <w:r>
              <w:t xml:space="preserve">Prix</w:t>
            </w:r>
          </w:p>
        </w:tc>
        <w:tc>
          <w:tcPr>
            <w:tcW w:w="4680" w:type="dxa"/>
          </w:tcPr>
          <w:p>
            <w:pPr/>
            <w:r>
              <w:t xml:space="preserve">Toujours recalculés côté serveur ; le devis est figé dans </w:t>
            </w:r>
            <w:r>
              <w:rPr>
                <w:rStyle w:val="CodeChar"/>
              </w:rPr>
              <w:t xml:space="preserve">ord_orders</w:t>
            </w:r>
            <w:r>
              <w:t xml:space="preserve"> avant paiement</w:t>
            </w:r>
          </w:p>
        </w:tc>
      </w:tr>
      <w:tr>
        <w:tc>
          <w:tcPr>
            <w:tcW w:w="4680" w:type="dxa"/>
          </w:tcPr>
          <w:p>
            <w:pPr/>
            <w:r>
              <w:t xml:space="preserve">Paiements</w:t>
            </w:r>
          </w:p>
        </w:tc>
        <w:tc>
          <w:tcPr>
            <w:tcW w:w="4680" w:type="dxa"/>
          </w:tcPr>
          <w:p>
            <w:pPr/>
            <w:r>
              <w:t xml:space="preserve">Webhooks entrants vérifiés (signature du fournisseur) et dédoublonnés par </w:t>
            </w:r>
            <w:r>
              <w:rPr>
                <w:rStyle w:val="CodeChar"/>
              </w:rPr>
              <w:t xml:space="preserve">bill_gateway_events.event_ref</w:t>
            </w:r>
          </w:p>
        </w:tc>
      </w:tr>
      <w:tr>
        <w:tc>
          <w:tcPr>
            <w:tcW w:w="4680" w:type="dxa"/>
          </w:tcPr>
          <w:p>
            <w:pPr/>
            <w:r>
              <w:t xml:space="preserve">Webhooks sortants</w:t>
            </w:r>
          </w:p>
        </w:tc>
        <w:tc>
          <w:tcPr>
            <w:tcW w:w="4680" w:type="dxa"/>
          </w:tcPr>
          <w:p>
            <w:pPr/>
            <w:r>
              <w:t xml:space="preserve">Signés en HMAC avec le secret de l'endpoint ; renvois espacés ; historique dans </w:t>
            </w:r>
            <w:r>
              <w:rPr>
                <w:rStyle w:val="CodeChar"/>
              </w:rPr>
              <w:t xml:space="preserve">int_webhook_deliveries</w:t>
            </w:r>
          </w:p>
        </w:tc>
      </w:tr>
      <w:tr>
        <w:tc>
          <w:tcPr>
            <w:tcW w:w="4680" w:type="dxa"/>
          </w:tcPr>
          <w:p>
            <w:pPr/>
            <w:r>
              <w:t xml:space="preserve">Jetons de licence</w:t>
            </w:r>
          </w:p>
        </w:tc>
        <w:tc>
          <w:tcPr>
            <w:tcW w:w="4680" w:type="dxa"/>
          </w:tcPr>
          <w:p>
            <w:pPr/>
            <w:r>
              <w:t xml:space="preserve">JWT signés par une clé privée de la plateforme, durée courte ; la passerelle Access les vérifie hors ligne avec la clé publique</w:t>
            </w:r>
          </w:p>
        </w:tc>
      </w:tr>
      <w:tr>
        <w:tc>
          <w:tcPr>
            <w:tcW w:w="4680" w:type="dxa"/>
          </w:tcPr>
          <w:p>
            <w:pPr/>
            <w:r>
              <w:t xml:space="preserve">Journaux</w:t>
            </w:r>
          </w:p>
        </w:tc>
        <w:tc>
          <w:tcPr>
            <w:tcW w:w="4680" w:type="dxa"/>
          </w:tcPr>
          <w:p>
            <w:pPr/>
            <w:r>
              <w:rPr>
                <w:rStyle w:val="CodeChar"/>
              </w:rPr>
              <w:t xml:space="preserve">aud_logs</w:t>
            </w:r>
            <w:r>
              <w:t xml:space="preserve">, </w:t>
            </w:r>
            <w:r>
              <w:rPr>
                <w:rStyle w:val="CodeChar"/>
              </w:rPr>
              <w:t xml:space="preserve">sub_events</w:t>
            </w:r>
            <w:r>
              <w:t xml:space="preserve"> et </w:t>
            </w:r>
            <w:r>
              <w:rPr>
                <w:rStyle w:val="CodeChar"/>
              </w:rPr>
              <w:t xml:space="preserve">sup_messages</w:t>
            </w:r>
            <w:r>
              <w:t xml:space="preserve"> en ajout seul, jamais modifiés ni supprimés</w:t>
            </w:r>
          </w:p>
        </w:tc>
      </w:tr>
    </w:tbl>
    <w:p>
      <w:pPr>
        <w:pStyle w:val="Heading2"/>
      </w:pPr>
      <w:r>
        <w:t xml:space="preserve">Plan de construction</w:t>
      </w:r>
    </w:p>
    <w:p>
      <w:pPr/>
      <w:r>
        <w:t xml:space="preserve">La console se construit en 9 lots, dans l'étape 2 du plan de redémarrage ; le lot 3 est le critère de sortie de cette étape.</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Lot</w:t>
            </w:r>
          </w:p>
        </w:tc>
        <w:tc>
          <w:tcPr>
            <w:tcW w:w="2340" w:type="dxa"/>
            <w:shd w:val="clear" w:color="auto" w:fill="F2F2F2"/>
          </w:tcPr>
          <w:p>
            <w:pPr/>
            <w:r>
              <w:t xml:space="preserve">Contenu</w:t>
            </w:r>
          </w:p>
        </w:tc>
        <w:tc>
          <w:tcPr>
            <w:tcW w:w="2340" w:type="dxa"/>
            <w:shd w:val="clear" w:color="auto" w:fill="F2F2F2"/>
          </w:tcPr>
          <w:p>
            <w:pPr/>
            <w:r>
              <w:t xml:space="preserve">Tables</w:t>
            </w:r>
          </w:p>
        </w:tc>
        <w:tc>
          <w:tcPr>
            <w:tcW w:w="2340" w:type="dxa"/>
            <w:shd w:val="clear" w:color="auto" w:fill="F2F2F2"/>
          </w:tcPr>
          <w:p>
            <w:pPr/>
            <w:r>
              <w:t xml:space="preserve">Terminé quand</w:t>
            </w:r>
          </w:p>
        </w:tc>
      </w:tr>
      <w:tr>
        <w:tc>
          <w:tcPr>
            <w:tcW w:w="2340" w:type="dxa"/>
          </w:tcPr>
          <w:p>
            <w:pPr/>
            <w:r>
              <w:t xml:space="preserve">1</w:t>
            </w:r>
          </w:p>
        </w:tc>
        <w:tc>
          <w:tcPr>
            <w:tcW w:w="2340" w:type="dxa"/>
          </w:tcPr>
          <w:p>
            <w:pPr/>
            <w:r>
              <w:t xml:space="preserve">Staff (guard, 2FA, rôles) + Audit</w:t>
            </w:r>
          </w:p>
        </w:tc>
        <w:tc>
          <w:tcPr>
            <w:tcW w:w="2340" w:type="dxa"/>
          </w:tcPr>
          <w:p>
            <w:pPr/>
            <w:r>
              <w:rPr>
                <w:rStyle w:val="CodeChar"/>
              </w:rPr>
              <w:t xml:space="preserve">staff_*</w:t>
            </w:r>
            <w:r>
              <w:t xml:space="preserve">, </w:t>
            </w:r>
            <w:r>
              <w:rPr>
                <w:rStyle w:val="CodeChar"/>
              </w:rPr>
              <w:t xml:space="preserve">aud_logs</w:t>
            </w:r>
          </w:p>
        </w:tc>
        <w:tc>
          <w:tcPr>
            <w:tcW w:w="2340" w:type="dxa"/>
          </w:tcPr>
          <w:p>
            <w:pPr/>
            <w:r>
              <w:t xml:space="preserve">Un agent se connecte à </w:t>
            </w:r>
            <w:r>
              <w:rPr>
                <w:rStyle w:val="CodeChar"/>
              </w:rPr>
              <w:t xml:space="preserve">admin.byplus.io</w:t>
            </w:r>
            <w:r>
              <w:t xml:space="preserve"> et chaque action est tracée</w:t>
            </w:r>
          </w:p>
        </w:tc>
      </w:tr>
      <w:tr>
        <w:tc>
          <w:tcPr>
            <w:tcW w:w="2340" w:type="dxa"/>
          </w:tcPr>
          <w:p>
            <w:pPr/>
            <w:r>
              <w:t xml:space="preserve">2</w:t>
            </w:r>
          </w:p>
        </w:tc>
        <w:tc>
          <w:tcPr>
            <w:tcW w:w="2340" w:type="dxa"/>
          </w:tcPr>
          <w:p>
            <w:pPr/>
            <w:r>
              <w:t xml:space="preserve">Tenants + provisionnement</w:t>
            </w:r>
          </w:p>
        </w:tc>
        <w:tc>
          <w:tcPr>
            <w:tcW w:w="2340" w:type="dxa"/>
          </w:tcPr>
          <w:p>
            <w:pPr/>
            <w:r>
              <w:rPr>
                <w:rStyle w:val="CodeChar"/>
              </w:rPr>
              <w:t xml:space="preserve">tenants</w:t>
            </w:r>
            <w:r>
              <w:t xml:space="preserve">, </w:t>
            </w:r>
            <w:r>
              <w:rPr>
                <w:rStyle w:val="CodeChar"/>
              </w:rPr>
              <w:t xml:space="preserve">tenant_*</w:t>
            </w:r>
          </w:p>
        </w:tc>
        <w:tc>
          <w:tcPr>
            <w:tcW w:w="2340" w:type="dxa"/>
          </w:tcPr>
          <w:p>
            <w:pPr/>
            <w:r>
              <w:t xml:space="preserve">La console crée un client, sa base et son domaine</w:t>
            </w:r>
          </w:p>
        </w:tc>
      </w:tr>
      <w:tr>
        <w:tc>
          <w:tcPr>
            <w:tcW w:w="2340" w:type="dxa"/>
          </w:tcPr>
          <w:p>
            <w:pPr/>
            <w:r>
              <w:t xml:space="preserve">3</w:t>
            </w:r>
          </w:p>
        </w:tc>
        <w:tc>
          <w:tcPr>
            <w:tcW w:w="2340" w:type="dxa"/>
          </w:tcPr>
          <w:p>
            <w:pPr/>
            <w:r>
              <w:t xml:space="preserve">Catalog (synchronisation, formules, capacités) + Subscriptions + Activation + publication dans Redis</w:t>
            </w:r>
          </w:p>
        </w:tc>
        <w:tc>
          <w:tcPr>
            <w:tcW w:w="2340" w:type="dxa"/>
          </w:tcPr>
          <w:p>
            <w:pPr/>
            <w:r>
              <w:rPr>
                <w:rStyle w:val="CodeChar"/>
              </w:rPr>
              <w:t xml:space="preserve">catalog_*</w:t>
            </w:r>
            <w:r>
              <w:t xml:space="preserve">, </w:t>
            </w:r>
            <w:r>
              <w:rPr>
                <w:rStyle w:val="CodeChar"/>
              </w:rPr>
              <w:t xml:space="preserve">sub_*</w:t>
            </w:r>
            <w:r>
              <w:t xml:space="preserve">, </w:t>
            </w:r>
            <w:r>
              <w:rPr>
                <w:rStyle w:val="CodeChar"/>
              </w:rPr>
              <w:t xml:space="preserve">act_*</w:t>
            </w:r>
          </w:p>
        </w:tc>
        <w:tc>
          <w:tcPr>
            <w:tcW w:w="2340" w:type="dxa"/>
          </w:tcPr>
          <w:p>
            <w:pPr/>
            <w:r>
              <w:t xml:space="preserve">Un abonnement attribué dans la console produit le bon état publié pour ce client</w:t>
            </w:r>
          </w:p>
        </w:tc>
      </w:tr>
      <w:tr>
        <w:tc>
          <w:tcPr>
            <w:tcW w:w="2340" w:type="dxa"/>
          </w:tcPr>
          <w:p>
            <w:pPr/>
            <w:r>
              <w:t xml:space="preserve">4</w:t>
            </w:r>
          </w:p>
        </w:tc>
        <w:tc>
          <w:tcPr>
            <w:tcW w:w="2340" w:type="dxa"/>
          </w:tcPr>
          <w:p>
            <w:pPr/>
            <w:r>
              <w:rPr>
                <w:rStyle w:val="CodeChar"/>
              </w:rPr>
              <w:t xml:space="preserve">CalculateurPrix</w:t>
            </w:r>
            <w:r>
              <w:t xml:space="preserve"> + grilles + promotions, avec une couverture de tests complète</w:t>
            </w:r>
          </w:p>
        </w:tc>
        <w:tc>
          <w:tcPr>
            <w:tcW w:w="2340" w:type="dxa"/>
          </w:tcPr>
          <w:p>
            <w:pPr/>
            <w:r>
              <w:rPr>
                <w:rStyle w:val="CodeChar"/>
              </w:rPr>
              <w:t xml:space="preserve">catalog_price_lists</w:t>
            </w:r>
            <w:r>
              <w:t xml:space="preserve">, </w:t>
            </w:r>
            <w:r>
              <w:rPr>
                <w:rStyle w:val="CodeChar"/>
              </w:rPr>
              <w:t xml:space="preserve">catalog_prices</w:t>
            </w:r>
            <w:r>
              <w:t xml:space="preserve">, </w:t>
            </w:r>
            <w:r>
              <w:rPr>
                <w:rStyle w:val="CodeChar"/>
              </w:rPr>
              <w:t xml:space="preserve">catalog_promotions</w:t>
            </w:r>
          </w:p>
        </w:tc>
        <w:tc>
          <w:tcPr>
            <w:tcW w:w="2340" w:type="dxa"/>
          </w:tcPr>
          <w:p>
            <w:pPr/>
            <w:r>
              <w:t xml:space="preserve">Tous les cas (gratuit, légers, options, annuel, promo, prorata) calculés juste</w:t>
            </w:r>
          </w:p>
        </w:tc>
      </w:tr>
      <w:tr>
        <w:tc>
          <w:tcPr>
            <w:tcW w:w="2340" w:type="dxa"/>
          </w:tcPr>
          <w:p>
            <w:pPr/>
            <w:r>
              <w:t xml:space="preserve">5</w:t>
            </w:r>
          </w:p>
        </w:tc>
        <w:tc>
          <w:tcPr>
            <w:tcW w:w="2340" w:type="dxa"/>
          </w:tcPr>
          <w:p>
            <w:pPr/>
            <w:r>
              <w:t xml:space="preserve">Orders + API </w:t>
            </w:r>
            <w:r>
              <w:rPr>
                <w:rStyle w:val="CodeChar"/>
              </w:rPr>
              <w:t xml:space="preserve">GuichetAbonnement</w:t>
            </w:r>
            <w:r>
              <w:t xml:space="preserve"> + page publique de tarifs</w:t>
            </w:r>
          </w:p>
        </w:tc>
        <w:tc>
          <w:tcPr>
            <w:tcW w:w="2340" w:type="dxa"/>
          </w:tcPr>
          <w:p>
            <w:pPr/>
            <w:r>
              <w:rPr>
                <w:rStyle w:val="CodeChar"/>
              </w:rPr>
              <w:t xml:space="preserve">ord_*</w:t>
            </w:r>
          </w:p>
        </w:tc>
        <w:tc>
          <w:tcPr>
            <w:tcW w:w="2340" w:type="dxa"/>
          </w:tcPr>
          <w:p>
            <w:pPr/>
            <w:r>
              <w:t xml:space="preserve">Un visiteur compose sa formule et ses modules et voit le prix en direct</w:t>
            </w:r>
          </w:p>
        </w:tc>
      </w:tr>
      <w:tr>
        <w:tc>
          <w:tcPr>
            <w:tcW w:w="2340" w:type="dxa"/>
          </w:tcPr>
          <w:p>
            <w:pPr/>
            <w:r>
              <w:t xml:space="preserve">6</w:t>
            </w:r>
          </w:p>
        </w:tc>
        <w:tc>
          <w:tcPr>
            <w:tcW w:w="2340" w:type="dxa"/>
          </w:tcPr>
          <w:p>
            <w:pPr/>
            <w:r>
              <w:t xml:space="preserve">Billing + passerelle de paiement + cycle de vie quotidien</w:t>
            </w:r>
          </w:p>
        </w:tc>
        <w:tc>
          <w:tcPr>
            <w:tcW w:w="2340" w:type="dxa"/>
          </w:tcPr>
          <w:p>
            <w:pPr/>
            <w:r>
              <w:rPr>
                <w:rStyle w:val="CodeChar"/>
              </w:rPr>
              <w:t xml:space="preserve">bill_*</w:t>
            </w:r>
          </w:p>
        </w:tc>
        <w:tc>
          <w:tcPr>
            <w:tcW w:w="2340" w:type="dxa"/>
          </w:tcPr>
          <w:p>
            <w:pPr/>
            <w:r>
              <w:t xml:space="preserve">Un inconnu choisit, paie et obtient son abonnement sans intervention ; l'échéance suspend l'accès</w:t>
            </w:r>
          </w:p>
        </w:tc>
      </w:tr>
      <w:tr>
        <w:tc>
          <w:tcPr>
            <w:tcW w:w="2340" w:type="dxa"/>
          </w:tcPr>
          <w:p>
            <w:pPr/>
            <w:r>
              <w:t xml:space="preserve">7</w:t>
            </w:r>
          </w:p>
        </w:tc>
        <w:tc>
          <w:tcPr>
            <w:tcW w:w="2340" w:type="dxa"/>
          </w:tcPr>
          <w:p>
            <w:pPr/>
            <w:r>
              <w:t xml:space="preserve">Support + accès support</w:t>
            </w:r>
          </w:p>
        </w:tc>
        <w:tc>
          <w:tcPr>
            <w:tcW w:w="2340" w:type="dxa"/>
          </w:tcPr>
          <w:p>
            <w:pPr/>
            <w:r>
              <w:rPr>
                <w:rStyle w:val="CodeChar"/>
              </w:rPr>
              <w:t xml:space="preserve">sup_*</w:t>
            </w:r>
            <w:r>
              <w:t xml:space="preserve">, </w:t>
            </w:r>
            <w:r>
              <w:rPr>
                <w:rStyle w:val="CodeChar"/>
              </w:rPr>
              <w:t xml:space="preserve">acc_*</w:t>
            </w:r>
          </w:p>
        </w:tc>
        <w:tc>
          <w:tcPr>
            <w:tcW w:w="2340" w:type="dxa"/>
          </w:tcPr>
          <w:p>
            <w:pPr/>
            <w:r>
              <w:t xml:space="preserve">Ticket reçu et traité dans la console ; accès support tracé</w:t>
            </w:r>
          </w:p>
        </w:tc>
      </w:tr>
      <w:tr>
        <w:tc>
          <w:tcPr>
            <w:tcW w:w="2340" w:type="dxa"/>
          </w:tcPr>
          <w:p>
            <w:pPr/>
            <w:r>
              <w:t xml:space="preserve">8</w:t>
            </w:r>
          </w:p>
        </w:tc>
        <w:tc>
          <w:tcPr>
            <w:tcW w:w="2340" w:type="dxa"/>
          </w:tcPr>
          <w:p>
            <w:pPr/>
            <w:r>
              <w:t xml:space="preserve">Integrations (JWT, webhooks)</w:t>
            </w:r>
          </w:p>
        </w:tc>
        <w:tc>
          <w:tcPr>
            <w:tcW w:w="2340" w:type="dxa"/>
          </w:tcPr>
          <w:p>
            <w:pPr/>
            <w:r>
              <w:rPr>
                <w:rStyle w:val="CodeChar"/>
              </w:rPr>
              <w:t xml:space="preserve">int_*</w:t>
            </w:r>
          </w:p>
        </w:tc>
        <w:tc>
          <w:tcPr>
            <w:tcW w:w="2340" w:type="dxa"/>
          </w:tcPr>
          <w:p>
            <w:pPr/>
            <w:r>
              <w:t xml:space="preserve">La passerelle Access vérifie une licence hors ligne</w:t>
            </w:r>
          </w:p>
        </w:tc>
      </w:tr>
      <w:tr>
        <w:tc>
          <w:tcPr>
            <w:tcW w:w="2340" w:type="dxa"/>
          </w:tcPr>
          <w:p>
            <w:pPr/>
            <w:r>
              <w:t xml:space="preserve">9</w:t>
            </w:r>
          </w:p>
        </w:tc>
        <w:tc>
          <w:tcPr>
            <w:tcW w:w="2340" w:type="dxa"/>
          </w:tcPr>
          <w:p>
            <w:pPr/>
            <w:r>
              <w:t xml:space="preserve">Operations + Announcements, puis bascule du tenant </w:t>
            </w:r>
            <w:r>
              <w:rPr>
                <w:rStyle w:val="CodeChar"/>
              </w:rPr>
              <w:t xml:space="preserve">netbyus</w:t>
            </w:r>
          </w:p>
        </w:tc>
        <w:tc>
          <w:tcPr>
            <w:tcW w:w="2340" w:type="dxa"/>
          </w:tcPr>
          <w:p>
            <w:pPr/>
            <w:r>
              <w:rPr>
                <w:rStyle w:val="CodeChar"/>
              </w:rPr>
              <w:t xml:space="preserve">ops_*</w:t>
            </w:r>
            <w:r>
              <w:t xml:space="preserve">, </w:t>
            </w:r>
            <w:r>
              <w:rPr>
                <w:rStyle w:val="CodeChar"/>
              </w:rPr>
              <w:t xml:space="preserve">ann_*</w:t>
            </w:r>
          </w:p>
        </w:tc>
        <w:tc>
          <w:tcPr>
            <w:tcW w:w="2340" w:type="dxa"/>
          </w:tcPr>
          <w:p>
            <w:pPr/>
            <w:r>
              <w:t xml:space="preserve">Migration multi-bases suivie depuis la console ; </w:t>
            </w:r>
            <w:r>
              <w:rPr>
                <w:rStyle w:val="CodeChar"/>
              </w:rPr>
              <w:t xml:space="preserve">netbyus</w:t>
            </w:r>
            <w:r>
              <w:t xml:space="preserve"> est un client ordinaire</w:t>
            </w:r>
          </w:p>
        </w:tc>
      </w:tr>
    </w:tbl>
    <w:p>
      <w:pPr>
        <w:pStyle w:val="Heading2"/>
      </w:pPr>
      <w:r>
        <w:t xml:space="preserve">Décisions à trancher en atelier</w:t>
      </w:r>
    </w:p>
    <w:p>
      <w:pPr>
        <w:pStyle w:val="ListParagraph"/>
        <w:numPr>
          <w:ilvl w:val="0"/>
          <w:numId w:val="7"/>
        </w:numPr>
      </w:pPr>
      <w:r>
        <w:t xml:space="preserve">☐ Valider le passage de l'administration du tenant </w:t>
      </w:r>
      <w:r>
        <w:rPr>
          <w:rStyle w:val="CodeChar"/>
        </w:rPr>
        <w:t xml:space="preserve">netbyus</w:t>
      </w:r>
      <w:r>
        <w:t xml:space="preserve"> vers la console centrale</w:t>
      </w:r>
    </w:p>
    <w:p>
      <w:pPr>
        <w:pStyle w:val="ListParagraph"/>
        <w:numPr>
          <w:ilvl w:val="0"/>
          <w:numId w:val="7"/>
        </w:numPr>
      </w:pPr>
      <w:r>
        <w:t xml:space="preserve">☐ Prix par utilisateur de Standard et d'Entreprise, prix de l'utilisateur léger, en F CFA</w:t>
      </w:r>
    </w:p>
    <w:p>
      <w:pPr>
        <w:pStyle w:val="ListParagraph"/>
        <w:numPr>
          <w:ilvl w:val="0"/>
          <w:numId w:val="7"/>
        </w:numPr>
      </w:pPr>
      <w:r>
        <w:t xml:space="preserve">☐ Remise annuelle et durée de l'essai gratuit</w:t>
      </w:r>
    </w:p>
    <w:p>
      <w:pPr>
        <w:pStyle w:val="ListParagraph"/>
        <w:numPr>
          <w:ilvl w:val="0"/>
          <w:numId w:val="7"/>
        </w:numPr>
      </w:pPr>
      <w:r>
        <w:t xml:space="preserve">☐ Liste des modules </w:t>
      </w:r>
      <w:r>
        <w:rPr>
          <w:rStyle w:val="CodeChar"/>
        </w:rPr>
        <w:t xml:space="preserve">eligible_gratuit</w:t>
      </w:r>
    </w:p>
    <w:p>
      <w:pPr>
        <w:pStyle w:val="ListParagraph"/>
        <w:numPr>
          <w:ilvl w:val="0"/>
          <w:numId w:val="7"/>
        </w:numPr>
      </w:pPr>
      <w:r>
        <w:t xml:space="preserve">☐ Capacités réservées à Entreprise : confirmer les quatre proposées</w:t>
      </w:r>
    </w:p>
    <w:p>
      <w:pPr>
        <w:pStyle w:val="ListParagraph"/>
        <w:numPr>
          <w:ilvl w:val="0"/>
          <w:numId w:val="7"/>
        </w:numPr>
      </w:pPr>
      <w:r>
        <w:t xml:space="preserve">☐ Modules coûteux (Paie, Access, Dossiers notariaux) : inclus dans Standard, facturés par option, ou réservés à Entreprise</w:t>
      </w:r>
    </w:p>
    <w:p>
      <w:pPr>
        <w:pStyle w:val="ListParagraph"/>
        <w:numPr>
          <w:ilvl w:val="0"/>
          <w:numId w:val="7"/>
        </w:numPr>
      </w:pPr>
      <w:r>
        <w:t xml:space="preserve">☐ Quota dépassé : bloquer la création d'utilisateur ou régulariser au prorata</w:t>
      </w:r>
    </w:p>
    <w:p>
      <w:pPr>
        <w:pStyle w:val="ListParagraph"/>
        <w:numPr>
          <w:ilvl w:val="0"/>
          <w:numId w:val="7"/>
        </w:numPr>
      </w:pPr>
      <w:r>
        <w:t xml:space="preserve">☐ Durées du cycle de vie : grâce, suspension, conservation avant archivage</w:t>
      </w:r>
    </w:p>
    <w:p>
      <w:pPr>
        <w:pStyle w:val="ListParagraph"/>
        <w:numPr>
          <w:ilvl w:val="0"/>
          <w:numId w:val="7"/>
        </w:numPr>
      </w:pPr>
      <w:r>
        <w:t xml:space="preserve">☐ Ce que voit un client suspendu</w:t>
      </w:r>
    </w:p>
    <w:p>
      <w:pPr>
        <w:pStyle w:val="ListParagraph"/>
        <w:numPr>
          <w:ilvl w:val="0"/>
          <w:numId w:val="7"/>
        </w:numPr>
      </w:pPr>
      <w:r>
        <w:t xml:space="preserve">☐ Fournisseurs de paiement et taux de TVA applicable</w:t>
      </w:r>
    </w:p>
    <w:p>
      <w:pPr>
        <w:pStyle w:val="ListParagraph"/>
        <w:numPr>
          <w:ilvl w:val="0"/>
          <w:numId w:val="7"/>
        </w:numPr>
      </w:pPr>
      <w:r>
        <w:t xml:space="preserve">☐ Seuils de double validation (remise, archivage)</w:t>
      </w:r>
    </w:p>
    <w:p>
      <w:pPr>
        <w:pStyle w:val="ListParagraph"/>
        <w:numPr>
          <w:ilvl w:val="0"/>
          <w:numId w:val="7"/>
        </w:numPr>
      </w:pPr>
      <w:r>
        <w:t xml:space="preserve">☐ Un responsable par domaine de </w:t>
      </w:r>
      <w:r>
        <w:rPr>
          <w:rStyle w:val="CodeChar"/>
        </w:rPr>
        <w:t xml:space="preserve">platform/</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1"/>
    <w:lvlOverride w:ilvl="0">
      <w:startOverride w:val="1"/>
    </w:lvlOverride>
  </w:num>
  <w:num w:numId="6">
    <w:abstractNumId w:val="1"/>
    <w:lvlOverride w:ilvl="0">
      <w:startOverride w:val="1"/>
    </w:lvlOverride>
  </w:num>
  <w:num w:numId="7">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BY+ · Console NetByUs  architecture, données et fonctionnement</dc:title>
  <dc:description>Claude Docs node/554a9e90-a3a8@28 docx-w6</dc:description>
  <cp:revision>28</cp:revision>
</cp:coreProperties>
</file>