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9822B"/>
          <w:sz w:val="17"/>
          <w:szCs w:val="17"/>
        </w:rPr>
        <w:t xml:space="preserve">BY+ · CONSOLE NETBYUS · RÉSUMÉ</w:t>
      </w:r>
    </w:p>
    <w:p>
      <w:pPr>
        <w:pStyle w:val="Title"/>
      </w:pPr>
      <w:r>
        <w:t xml:space="preserve">La console NetByUs, en clair</w:t>
      </w:r>
    </w:p>
    <w:p>
      <w:pPr>
        <w:spacing w:after="240"/>
      </w:pPr>
      <w:r>
        <w:rPr>
          <w:color w:val="5F6B7A"/>
          <w:sz w:val="18"/>
          <w:szCs w:val="18"/>
        </w:rPr>
        <w:t xml:space="preserve">30 septembre 2026 · ADAM Chacour · résumé du rapport « Console NetByUs : architecture, données et fonctionnement »</w:t>
      </w:r>
    </w:p>
    <w:p>
      <w:pPr>
        <w:spacing w:after="120"/>
      </w:pPr>
      <w:r>
        <w:t xml:space="preserve">La console est le </w:t>
      </w:r>
      <w:r>
        <w:rPr>
          <w:b/>
          <w:bCs/>
        </w:rPr>
        <w:t xml:space="preserve">back-office de NetByUs</w:t>
      </w:r>
      <w:r>
        <w:t xml:space="preserve">. Elle vend les formules, suit les abonnements, active les modules chez chaque client et traite le support. Elle vit dans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api/platform/</w:t>
      </w:r>
      <w:r>
        <w:t xml:space="preserve">, sur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admin.byplus.io</w:t>
      </w:r>
      <w:r>
        <w:t xml:space="preserve"> et la base centrale, et </w:t>
      </w:r>
      <w:r>
        <w:rPr>
          <w:b/>
          <w:bCs/>
        </w:rPr>
        <w:t xml:space="preserve">ne voit jamais les données métier</w:t>
      </w:r>
      <w:r>
        <w:t xml:space="preserve"> des clients.</w:t>
      </w:r>
    </w:p>
    <w:p>
      <w:pPr>
        <w:pStyle w:val="Heading1"/>
      </w:pPr>
      <w:r>
        <w:t xml:space="preserve">1. Les 6 idées à retenir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Comme Odoo</w:t>
      </w:r>
      <w:r>
        <w:t xml:space="preserve"> : le client choisit une </w:t>
      </w:r>
      <w:r>
        <w:rPr>
          <w:b/>
          <w:bCs/>
        </w:rPr>
        <w:t xml:space="preserve">formule</w:t>
      </w:r>
      <w:r>
        <w:t xml:space="preserve">, un </w:t>
      </w:r>
      <w:r>
        <w:rPr>
          <w:b/>
          <w:bCs/>
        </w:rPr>
        <w:t xml:space="preserve">nombre d'utilisateurs</w:t>
      </w:r>
      <w:r>
        <w:t xml:space="preserve">, puis coche librement ses </w:t>
      </w:r>
      <w:r>
        <w:rPr>
          <w:b/>
          <w:bCs/>
        </w:rPr>
        <w:t xml:space="preserve">modules</w:t>
      </w:r>
      <w:r>
        <w:t xml:space="preserve">.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config/offers.php</w:t>
      </w:r>
      <w:r>
        <w:t xml:space="preserve"> disparaît.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La console est une plateforme, pas un tenant.</w:t>
      </w:r>
      <w:r>
        <w:t xml:space="preserve"> Le tenant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netbyus</w:t>
      </w:r>
      <w:r>
        <w:t xml:space="preserve"> redevient un client ordinaire.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L'abonnement est la source de vérité.</w:t>
      </w:r>
      <w:r>
        <w:t xml:space="preserve"> Il décrit ce que le client doit avoir ; un </w:t>
      </w:r>
      <w:r>
        <w:rPr>
          <w:b/>
          <w:bCs/>
        </w:rPr>
        <w:t xml:space="preserve">réconciliateur</w:t>
      </w:r>
      <w:r>
        <w:t xml:space="preserve"> l'applique.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Une seule sortie vers les clients</w:t>
      </w:r>
      <w:r>
        <w:t xml:space="preserve"> : l'état publié dans Redis (modules, capacités, quotas).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Un seul calculateur de prix</w:t>
      </w:r>
      <w:r>
        <w:t xml:space="preserve">, côté serveur, pour la page de tarifs, l'espace client, la console et le paiement.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Les prix sont figés à l'achat</w:t>
      </w:r>
      <w:r>
        <w:t xml:space="preserve"> ; une nouvelle grille ne s'applique qu'au renouvellement.</w:t>
      </w:r>
    </w:p>
    <w:p>
      <w:pPr>
        <w:pStyle w:val="Heading1"/>
      </w:pPr>
      <w:r>
        <w:t xml:space="preserve">2. Ce que l'on vend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2891"/>
        <w:gridCol w:w="3276"/>
        <w:gridCol w:w="1929"/>
      </w:tblGrid>
      <w:tr>
        <w:trPr>
          <w:tblHeader/>
        </w:trPr>
        <w:tc>
          <w:tcPr>
            <w:tcW w:type="dxa" w:w="1542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Formule</w:t>
            </w:r>
          </w:p>
        </w:tc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Modules</w:t>
            </w:r>
          </w:p>
        </w:tc>
        <w:tc>
          <w:tcPr>
            <w:tcW w:type="dxa" w:w="3276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 plus</w:t>
            </w:r>
          </w:p>
        </w:tc>
        <w:tc>
          <w:tcPr>
            <w:tcW w:type="dxa" w:w="1929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Prix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F2A37"/>
                <w:sz w:val="18"/>
                <w:szCs w:val="18"/>
              </w:rPr>
              <w:t xml:space="preserve">Gratuit</w:t>
            </w:r>
          </w:p>
        </w:tc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1 module (parmi les éligibles) ; requis et ponts offerts</w:t>
            </w:r>
          </w:p>
        </w:tc>
        <w:tc>
          <w:tcPr>
            <w:tcW w:type="dxa" w:w="3276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  <w:tc>
          <w:tcPr>
            <w:tcW w:type="dxa" w:w="1929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0 F, utilisateurs illimités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F2A37"/>
                <w:sz w:val="18"/>
                <w:szCs w:val="18"/>
              </w:rPr>
              <w:t xml:space="preserve">Standard</w:t>
            </w:r>
          </w:p>
        </w:tc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Tous les modules publiés</w:t>
            </w:r>
          </w:p>
        </w:tc>
        <w:tc>
          <w:tcPr>
            <w:tcW w:type="dxa" w:w="3276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  <w:tc>
          <w:tcPr>
            <w:tcW w:type="dxa" w:w="1929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Par utilisateur et par mois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F2A37"/>
                <w:sz w:val="18"/>
                <w:szCs w:val="18"/>
              </w:rPr>
              <w:t xml:space="preserve">Entreprise</w:t>
            </w:r>
          </w:p>
        </w:tc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Tous les modules publiés</w:t>
            </w:r>
          </w:p>
        </w:tc>
        <w:tc>
          <w:tcPr>
            <w:tcW w:type="dxa" w:w="3276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Multi-sociétés, API et webhooks, personnalisation avancée, extensions client</w:t>
            </w:r>
          </w:p>
        </w:tc>
        <w:tc>
          <w:tcPr>
            <w:tcW w:type="dxa" w:w="1929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Par utilisateur et par mois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Capacités</w:t>
      </w:r>
      <w:r>
        <w:t xml:space="preserve"> : les fonctions avancées réservées à une formule (colonne « En plus »). La liste est technique ; la console décide qui y a droit.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Deux types d'utilisateurs</w:t>
      </w:r>
      <w:r>
        <w:t xml:space="preserve"> : </w:t>
      </w:r>
      <w:r>
        <w:rPr>
          <w:b/>
          <w:bCs/>
        </w:rPr>
        <w:t xml:space="preserve">complet</w:t>
      </w:r>
      <w:r>
        <w:t xml:space="preserve"> (prix de la formule) et </w:t>
      </w:r>
      <w:r>
        <w:rPr>
          <w:b/>
          <w:bCs/>
        </w:rPr>
        <w:t xml:space="preserve">léger</w:t>
      </w:r>
      <w:r>
        <w:t xml:space="preserve">, au petit prix fixe, pour le libre-service (congé, note de frais, pointage, bulletin).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Options</w:t>
      </w:r>
      <w:r>
        <w:t xml:space="preserve"> payantes par quantité (caisse POS, porte Access, installation de passerelle), </w:t>
      </w:r>
      <w:r>
        <w:rPr>
          <w:b/>
          <w:bCs/>
        </w:rPr>
        <w:t xml:space="preserve">promotions</w:t>
      </w:r>
      <w:r>
        <w:t xml:space="preserve"> (prix barré ou code) et </w:t>
      </w:r>
      <w:r>
        <w:rPr>
          <w:b/>
          <w:bCs/>
        </w:rPr>
        <w:t xml:space="preserve">remise annuelle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Gratuit</w:t>
      </w:r>
      <w:r>
        <w:t xml:space="preserve"> : ajouter un deuxième module propose de passer en Standard.</w:t>
      </w:r>
    </w:p>
    <w:p>
      <w:pPr>
        <w:pStyle w:val="Heading1"/>
      </w:pPr>
      <w:r>
        <w:t xml:space="preserve">3. Comment ça marche</w:t>
      </w:r>
    </w:p>
    <w:p>
      <w:pPr>
        <w:spacing w:after="60" w:before="80"/>
        <w:jc w:val="center"/>
      </w:pPr>
      <w:r>
        <w:drawing>
          <wp:inline distT="0" distB="0" distL="0" distR="0">
            <wp:extent cx="5334000" cy="3867150"/>
            <wp:effectExtent t="0" r="0" b="0" l="0"/>
            <wp:docPr id="1" name="fonctionnement.png" descr="fonctionnement.png" title="fonctionn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F6B7A"/>
          <w:sz w:val="17"/>
          <w:szCs w:val="17"/>
        </w:rPr>
        <w:t xml:space="preserve">De la commande à l'état publié</w:t>
      </w:r>
    </w:p>
    <w:p>
      <w:pPr>
        <w:spacing w:after="120"/>
      </w:pPr>
      <w:r>
        <w:t xml:space="preserve">Tout passe par l'abonnement. Une commande payée, ou une modification faite par un agent, met à jour </w:t>
      </w:r>
      <w:r>
        <w:rPr>
          <w:b/>
          <w:bCs/>
        </w:rPr>
        <w:t xml:space="preserve">Subscriptions</w:t>
      </w:r>
      <w:r>
        <w:t xml:space="preserve">. Le </w:t>
      </w:r>
      <w:r>
        <w:rPr>
          <w:b/>
          <w:bCs/>
        </w:rPr>
        <w:t xml:space="preserve">réconciliateur</w:t>
      </w:r>
      <w:r>
        <w:t xml:space="preserve"> calcule alors l'état voulu (modules choisis + requis + ponts + extensions, capacités, quotas), le compare à l'état réel, prépare la base du client, écrit la base centrale en dernier, puis republie les clés Redis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tenant:{cle}:*</w:t>
      </w:r>
      <w:r>
        <w:t xml:space="preserve"> et prévient les navigateurs. Chaque étape est rejouable ; un passage nocturne corrige les dérives.</w:t>
      </w:r>
    </w:p>
    <w:p>
      <w:pPr>
        <w:pStyle w:val="Heading1"/>
      </w:pPr>
      <w:r>
        <w:t xml:space="preserve">4. Les domaines de la console</w:t>
      </w:r>
    </w:p>
    <w:p>
      <w:pPr>
        <w:spacing w:after="120"/>
      </w:pPr>
      <w:r>
        <w:t xml:space="preserve">Un dossier par domaine, chacun avec l'anatomie d'un module (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Public/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Actions/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Models/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Http/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database/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tests/</w:t>
      </w:r>
      <w:r>
        <w:t xml:space="preserve">). Le détail des tables est au chapitre 5.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20"/>
        <w:gridCol w:w="5011"/>
        <w:gridCol w:w="2507"/>
      </w:tblGrid>
      <w:tr>
        <w:trPr>
          <w:tblHeader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Domaine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Ce qu'il gère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Tables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Staff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Comptes NetByUs, rôles, 2FA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staff_*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Tenants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Clients, domaines, bases, provisionnement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Catalog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Fiches des modules, formules, capacités, prix, options, promotions, calculateur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Subscriptions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Abonnement de chaque client : formule, utilisateurs, modules, historique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Orders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Paniers, commandes, devis figés, validations manuelles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ord_*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Billing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Factures NetByUs, paiements, prorata, passerelles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bill_*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Activation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Réconciliateur, état réel des clients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act_*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Support · Access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Tickets ; accès temporaire du support chez un client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sup_*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acc_*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Integrations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Jetons de licence (JWT), clés API, webhooks sortants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int_*</w:t>
            </w:r>
          </w:p>
        </w:tc>
      </w:tr>
      <w:tr>
        <w:trPr>
          <w:cantSplit/>
        </w:trPr>
        <w:tc>
          <w:tcPr>
            <w:tcW w:type="dxa" w:w="21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Operations · Announcements · Audit</w:t>
            </w:r>
          </w:p>
        </w:tc>
        <w:tc>
          <w:tcPr>
            <w:tcW w:type="dxa" w:w="501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Migrations multi-bases, sauvegardes ; annonces ; journal central</w:t>
            </w:r>
          </w:p>
        </w:tc>
        <w:tc>
          <w:tcPr>
            <w:tcW w:type="dxa" w:w="250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ops_*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ann_*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aud_logs</w:t>
            </w:r>
          </w:p>
        </w:tc>
      </w:tr>
    </w:tbl>
    <w:p>
      <w:pPr>
        <w:spacing w:after="80"/>
      </w:pPr>
    </w:p>
    <w:p>
      <w:pPr>
        <w:spacing w:after="120"/>
      </w:pPr>
      <w:r>
        <w:t xml:space="preserve">Les clients parlent à la console par cinq guichets : </w:t>
      </w:r>
      <w:r>
        <w:rPr>
          <w:b/>
          <w:bCs/>
        </w:rPr>
        <w:t xml:space="preserve">GuichetAbonnement</w:t>
      </w:r>
      <w:r>
        <w:t xml:space="preserve">, </w:t>
      </w:r>
      <w:r>
        <w:rPr>
          <w:b/>
          <w:bCs/>
        </w:rPr>
        <w:t xml:space="preserve">CalculateurPrix</w:t>
      </w:r>
      <w:r>
        <w:t xml:space="preserve">, </w:t>
      </w:r>
      <w:r>
        <w:rPr>
          <w:b/>
          <w:bCs/>
        </w:rPr>
        <w:t xml:space="preserve">GuichetSupport</w:t>
      </w:r>
      <w:r>
        <w:t xml:space="preserve">, </w:t>
      </w:r>
      <w:r>
        <w:rPr>
          <w:b/>
          <w:bCs/>
        </w:rPr>
        <w:t xml:space="preserve">GuichetAcces</w:t>
      </w:r>
      <w:r>
        <w:t xml:space="preserve"> et </w:t>
      </w:r>
      <w:r>
        <w:rPr>
          <w:b/>
          <w:bCs/>
        </w:rPr>
        <w:t xml:space="preserve">GuichetIntegrations</w:t>
      </w:r>
      <w:r>
        <w:t xml:space="preserve"> (Entreprise). Le client est toujours déduit de la requête, jamais d'un paramètre du navigateur.</w:t>
      </w:r>
    </w:p>
    <w:p>
      <w:pPr>
        <w:pStyle w:val="Heading1"/>
      </w:pPr>
      <w:r>
        <w:t xml:space="preserve">5. Structure des données : la base centrale</w:t>
      </w:r>
    </w:p>
    <w:p>
      <w:pPr>
        <w:spacing w:after="120"/>
      </w:pPr>
      <w:r>
        <w:t xml:space="preserve">La base centrale compte </w:t>
      </w:r>
      <w:r>
        <w:rPr>
          <w:b/>
          <w:bCs/>
        </w:rPr>
        <w:t xml:space="preserve">44 tables</w:t>
      </w:r>
      <w:r>
        <w:t xml:space="preserve">, réparties par domaine ; chaque table porte le préfixe de son domaine. Montants en entiers (F CFA, sans décimales), identifiants en UUID ; toutes les tables ont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created_at</w:t>
      </w:r>
      <w:r>
        <w:t xml:space="preserve"> /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updated_at</w:t>
      </w:r>
      <w:r>
        <w:t xml:space="preserve"> (non répétés ci-dessous).</w:t>
      </w:r>
    </w:p>
    <w:p>
      <w:pPr>
        <w:spacing w:after="60" w:before="80"/>
        <w:jc w:val="center"/>
      </w:pPr>
      <w:r>
        <w:drawing>
          <wp:inline distT="0" distB="0" distL="0" distR="0">
            <wp:extent cx="4953000" cy="5057775"/>
            <wp:effectExtent t="0" r="0" b="0" l="0"/>
            <wp:docPr id="1" name="relations.png" descr="relations.png" title="rela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F6B7A"/>
          <w:sz w:val="17"/>
          <w:szCs w:val="17"/>
        </w:rPr>
        <w:t xml:space="preserve">Relations entre les tables principales de la base centrale</w:t>
      </w:r>
    </w:p>
    <w:p>
      <w:pPr>
        <w:spacing w:after="120"/>
      </w:pPr>
      <w:r>
        <w:t xml:space="preserve">Un client a un seul abonnement. Le catalogue est commun à tous et n'est référencé que par clé (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plan_id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module_key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option_id</w:t>
      </w:r>
      <w:r>
        <w:t xml:space="preserve">).</w:t>
      </w:r>
    </w:p>
    <w:p>
      <w:pPr>
        <w:pStyle w:val="Heading2"/>
      </w:pPr>
      <w:r>
        <w:t xml:space="preserve">Staff : équipes NetByUs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staff_users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nom, email (unique), password, totp_secret, actif, derniere_connexion_at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Comptes des équipes NetByUs, séparés des utilisateurs clients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staff_roles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cle (super_admin, commercial, support, finance, ops), nom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Rôles internes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staff_role_permissions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role_id, permission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Permissions par rôle (ex. abonnements.modifier)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staff_user_roles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staff_user_id, role_id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Rôles d'un agent</w:t>
            </w:r>
          </w:p>
        </w:tc>
      </w:tr>
    </w:tbl>
    <w:p>
      <w:pPr>
        <w:pStyle w:val="Heading2"/>
      </w:pPr>
      <w:r>
        <w:t xml:space="preserve">Tenants : clients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cle (ex. sdp), raison_sociale, pays, devise, email_contact, telephone, etat (provisionnement, pret, archive), cree_par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Le client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tenant_domains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domaine (unique), principal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Sous-domaines (sdp.byplus.io)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tenant_databases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tenant_id, nom_base, version_schema, derniere_migration_at, etat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Base du client et son niveau de migration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tenant_contacts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nom, email, telephone, role (facturation, technique, decideur)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Interlocuteurs côté client</w:t>
            </w:r>
          </w:p>
        </w:tc>
      </w:tr>
    </w:tbl>
    <w:p>
      <w:pPr>
        <w:pStyle w:val="Heading2"/>
      </w:pPr>
      <w:r>
        <w:t xml:space="preserve">Catalog : ce qui se vend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catalog_categories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cle, nom, ordre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Familles affichées (Ventes, Finance, RH…)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catalog_modules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module_key (= clé du manifeste), categorie_id, nom_affiche, description_courte, icone, publie, eligible_gratuit, validation_requise, ordre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Fiche commerciale d'un module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catalog_plans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cle (gratuit, standard, entreprise), nom, max_modules (null = illimité), actif, ordre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Formules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catalog_plan_capabilities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plan_id, capacite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Capacités données par une formule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catalog_price_lists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version, devise, effective_from, effective_to, publiee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Grille tarifaire versionnée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catalog_prices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price_list_id, cible_type (plan, utilisateur_leger, option), cible_id, periodicite (mensuel, annuel), montant_unitaire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Prix de chaque élément dans une grille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catalog_options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cle, module_key, nom, unite (caisse, porte, installation), recurrente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Options payantes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catalog_promotions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nom, code (null = automatique), type (pourcentage, montant), valeur, plans (json), debut, fin, utilisations_max, utilisations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Prix barrés et codes promo</w:t>
            </w:r>
          </w:p>
        </w:tc>
      </w:tr>
    </w:tbl>
    <w:p>
      <w:pPr>
        <w:pStyle w:val="Heading2"/>
      </w:pPr>
      <w:r>
        <w:t xml:space="preserve">Subscriptions : ce que chaque client a acheté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sub_subscriptions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 (unique), plan_id, price_list_id, periodicite, etat, debut, fin_periode, fin_essai, fin_grace, utilisateurs_complets, utilisateurs_legers, prix_utilisateur_fige, prix_leger_fige, promotion_id, renouvellement_auto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L'abonnement du client, prix figés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sub_modules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subscription_id, module_key, ajoute_at, retrait_prevu_at, retire_at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Modules choisis par le client (sans prix)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sub_options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subscription_id, option_id, quantite, prix_unitaire_fige, ajoute_at, retire_at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Options souscrites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sub_extensions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subscription_id, extension_key, contrat_ref, debut, fin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Extensions client attribuées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sub_events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subscription_id, type (cree, formule_changee, module_ajoute, etat_change…), avant (json), apres (json), acteur_type, acteur_id, created_at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Historique, en ajout seul</w:t>
            </w:r>
          </w:p>
        </w:tc>
      </w:tr>
    </w:tbl>
    <w:p>
      <w:pPr>
        <w:pStyle w:val="Heading2"/>
      </w:pPr>
      <w:r>
        <w:t xml:space="preserve">Orders : commandes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ord_orders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subscription_id, source (client, console, public), etat (brouillon, a_payer, a_valider, payee, appliquee, annulee), devis_json, total, valide_par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Demande de changement avant application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ord_order_lines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order_id, type (plan, utilisateurs, module, option, remise, prorata, taxe), cible, quantite, prix_unitaire, montant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Lignes du devis figé</w:t>
            </w:r>
          </w:p>
        </w:tc>
      </w:tr>
    </w:tbl>
    <w:p>
      <w:pPr>
        <w:pStyle w:val="Heading2"/>
      </w:pPr>
      <w:r>
        <w:t xml:space="preserve">Billing : facturation NetByUs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bill_invoices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numero (unique), tenant_id, order_id, periode_debut, periode_fin, sous_total, remise, taxes, total, etat (emise, payee, en_retard, annulee), echeance, pdf_path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Factures de NetByUs à ses clients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bill_invoice_lines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invoice_id, libelle, quantite, prix_unitaire, montant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Lignes de facture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bill_payments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invoice_id, passerelle (fedapay, kkiapay, virement…), transaction_ref (unique), montant, etat, recu_at, payload (json)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Paiements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bill_gateway_events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passerelle, event_ref (unique), type, payload (json), traite_at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Webhooks entrants, pour l'idempotence</w:t>
            </w:r>
          </w:p>
        </w:tc>
      </w:tr>
    </w:tbl>
    <w:p>
      <w:pPr>
        <w:pStyle w:val="Heading2"/>
      </w:pPr>
      <w:r>
        <w:t xml:space="preserve">Activation : état réel des clients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act_tenant_modules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tenant_id, module_key, origine (choisi, requis, pont, extension), actif, active_at, desactive_at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Modules réellement actifs, avec leur origine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act_tenant_capabilities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tenant_id, capacite, active_at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Capacités réellement actives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act_runs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declencheur, etat_voulu (json), diff (json), statut (en_cours, ok, echec), erreur, debut, fin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Chaque passage du réconciliateur</w:t>
            </w:r>
          </w:p>
        </w:tc>
      </w:tr>
    </w:tbl>
    <w:p>
      <w:pPr>
        <w:pStyle w:val="Heading2"/>
      </w:pPr>
      <w:r>
        <w:t xml:space="preserve">Support, accès, intégrations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sup_tickets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numero, tenant_id, auteur_user_id (id dans la base client), auteur_nom, sujet, module_key, priorite, statut, assigne_a, premiere_reponse_at, resolu_at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Tickets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sup_messages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ticket_id, auteur_type (client, staff), auteur_id, corps, interne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Échanges ; interne = note invisible du client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sup_attachments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message_id, chemin_s3, nom, taille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Pièces jointes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acc_support_grants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accorde_par_user_id, ticket_id, debut, fin, revoque_at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Accès temporaire du support, accordé par le client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acc_support_sessions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grant_id, staff_user_id, debut, fin, ip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Chaque entrée du support chez un client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int_api_clients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nom, cle_hash, scopes (json), dernier_usage_at, revoque_at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Applications externes (mobile, passerelle Access)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int_webhook_endpoints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 (null = interne NetByUs), url, secret, evenements (json), actif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Destinations des webhooks sortants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int_webhook_deliveries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endpoint_id, evenement, payload (json), tentative, statut_http, prochain_essai_at, livre_at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Suivi des envois</w:t>
            </w:r>
          </w:p>
        </w:tc>
      </w:tr>
    </w:tbl>
    <w:p>
      <w:pPr>
        <w:pStyle w:val="Heading2"/>
      </w:pPr>
      <w:r>
        <w:t xml:space="preserve">Operations, annonces, audit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87"/>
        <w:gridCol w:w="4047"/>
        <w:gridCol w:w="2604"/>
      </w:tblGrid>
      <w:tr>
        <w:trPr>
          <w:tblHeader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Table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Colonnes principales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Rôle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ops_migration_runs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version_cible, lance_par, debut, fin, statut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Migration lancée sur toutes les bases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ops_migration_run_tenants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run_id, tenant_id, statut (en_attente, ok, echec), erreur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Avancement par client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ops_backups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tenant_id, chemin, taille, statut, fait_at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Sauvegardes suivies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ann_announcements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titre, corps, type (nouveaute, maintenance), cible (json : formules, modules, clients), debut, fin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Annonces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ann_reads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announcement_id, tenant_id, user_id, lu_at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Lectures</w:t>
            </w:r>
          </w:p>
        </w:tc>
      </w:tr>
      <w:tr>
        <w:trPr>
          <w:cantSplit/>
        </w:trPr>
        <w:tc>
          <w:tcPr>
            <w:tcW w:type="dxa" w:w="298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aud_logs</w:t>
            </w:r>
          </w:p>
        </w:tc>
        <w:tc>
          <w:tcPr>
            <w:tcW w:type="dxa" w:w="404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id, acteur_type, acteur_id, action, cible_type, cible_id, tenant_id, avant (json), apres (json), ip, created_at</w:t>
            </w:r>
          </w:p>
        </w:tc>
        <w:tc>
          <w:tcPr>
            <w:tcW w:type="dxa" w:w="260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Journal central, en ajout seul</w:t>
            </w:r>
          </w:p>
        </w:tc>
      </w:tr>
    </w:tbl>
    <w:p>
      <w:pPr>
        <w:pStyle w:val="Heading1"/>
      </w:pPr>
      <w:r>
        <w:t xml:space="preserve">6. Cycle de vie et changements</w:t>
      </w:r>
    </w:p>
    <w:p>
      <w:pPr>
        <w:spacing w:after="60" w:before="80"/>
        <w:jc w:val="center"/>
      </w:pPr>
      <w:r>
        <w:drawing>
          <wp:inline distT="0" distB="0" distL="0" distR="0">
            <wp:extent cx="5334000" cy="2638425"/>
            <wp:effectExtent t="0" r="0" b="0" l="0"/>
            <wp:docPr id="1" name="cycle.png" descr="cycle.png" title="cy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5F6B7A"/>
          <w:sz w:val="17"/>
          <w:szCs w:val="17"/>
        </w:rPr>
        <w:t xml:space="preserve">Un paiement ramène toujours à l'état actif ; seul l'archivage supprime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4337"/>
        <w:gridCol w:w="2410"/>
      </w:tblGrid>
      <w:tr>
        <w:trPr>
          <w:tblHeader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Changement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Quand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Paiement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Monter de formule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Immédiat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Prorata jusqu'à l'échéance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Descendre de formule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À l'échéance (en Gratuit, le client choisit le module gardé)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Aucun remboursement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Ajouter un module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Immédiat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Inclus dans la formule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Retirer un module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À l'échéance ; refusé s'il est requis ; données conservées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Ajouter des utilisateurs ou options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Immédiat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Prorata jusqu'à l'échéance</w:t>
            </w:r>
          </w:p>
        </w:tc>
      </w:tr>
      <w:tr>
        <w:trPr>
          <w:cantSplit/>
        </w:trPr>
        <w:tc>
          <w:tcPr>
            <w:tcW w:type="dxa" w:w="2891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Retirer des utilisateurs ou options</w:t>
            </w:r>
          </w:p>
        </w:tc>
        <w:tc>
          <w:tcPr>
            <w:tcW w:type="dxa" w:w="4337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À l'échéance</w:t>
            </w:r>
          </w:p>
        </w:tc>
        <w:tc>
          <w:tcPr>
            <w:tcW w:type="dxa" w:w="241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Aucun remboursement</w:t>
            </w:r>
          </w:p>
        </w:tc>
      </w:tr>
    </w:tbl>
    <w:p>
      <w:pPr>
        <w:spacing w:after="80"/>
      </w:pPr>
    </w:p>
    <w:p>
      <w:pPr>
        <w:spacing w:after="120"/>
      </w:pPr>
      <w:r>
        <w:t xml:space="preserve">Au-delà du quota d'utilisateurs, la création est refusée avec un lien vers « Mon abonnement ».</w:t>
      </w:r>
    </w:p>
    <w:p>
      <w:pPr>
        <w:pStyle w:val="Heading1"/>
      </w:pPr>
      <w:r>
        <w:t xml:space="preserve">7. Sécurité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Comptes NetByUs nominatifs</w:t>
      </w:r>
      <w:r>
        <w:t xml:space="preserve">, séparés des comptes clients, avec </w:t>
      </w:r>
      <w:r>
        <w:rPr>
          <w:b/>
          <w:bCs/>
        </w:rPr>
        <w:t xml:space="preserve">2FA obligatoire</w:t>
      </w:r>
      <w:r>
        <w:t xml:space="preserve"> (et IP ou VPN pour super_admin, finance, ops).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Rôles</w:t>
      </w:r>
      <w:r>
        <w:t xml:space="preserve"> : commercial, support, finance, ops, super_admin. </w:t>
      </w:r>
      <w:r>
        <w:rPr>
          <w:b/>
          <w:bCs/>
        </w:rPr>
        <w:t xml:space="preserve">Double validation</w:t>
      </w:r>
      <w:r>
        <w:t xml:space="preserve"> pour l'archivage, la suppression de données, une nouvelle grille tarifaire ou une grosse remise.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Entrer chez un client</w:t>
      </w:r>
      <w:r>
        <w:t xml:space="preserve"> : seulement avec un accès accordé par son administrateur, limité dans le temps, tracé des deux côtés.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Paiements et webhooks</w:t>
      </w:r>
      <w:r>
        <w:t xml:space="preserve"> : signatures vérifiées, dédoublonnage, envois signés HMAC. </w:t>
      </w:r>
      <w:r>
        <w:rPr>
          <w:b/>
          <w:bCs/>
        </w:rPr>
        <w:t xml:space="preserve">Jetons de licence</w:t>
      </w:r>
      <w:r>
        <w:t xml:space="preserve"> JWT vérifiables hors ligne par la passerelle Access.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Journaux</w:t>
      </w:r>
      <w:r>
        <w:t xml:space="preserve"> (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aud_logs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sub_events</w:t>
      </w:r>
      <w:r>
        <w:t xml:space="preserve">,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sup_messages</w:t>
      </w:r>
      <w:r>
        <w:t xml:space="preserve">) en ajout seul.</w:t>
      </w:r>
    </w:p>
    <w:p>
      <w:pPr>
        <w:pStyle w:val="Heading1"/>
      </w:pPr>
      <w:r>
        <w:t xml:space="preserve">8. Plan de construction</w:t>
      </w:r>
    </w:p>
    <w:p>
      <w:pPr>
        <w:keepNext/>
        <w:spacing w:after="120"/>
      </w:pPr>
      <w:r>
        <w:t xml:space="preserve">9 lots, dans l'étape 2 du redémarrage. Le lot 3 est le critère de sortie de cette étape.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4"/>
        <w:gridCol w:w="4144"/>
        <w:gridCol w:w="4820"/>
      </w:tblGrid>
      <w:tr>
        <w:trPr>
          <w:tblHeader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Lot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Contenu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Terminé quand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1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Staff + Audit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agent se connecte et chaque action est tracée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2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Tenants + provisionnement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La console crée un client, sa base et son domaine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3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Catalog + Subscriptions + Activation + Redis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abonnement attribué produit le bon état publié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4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Calculateur de prix, grilles, promotions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Tous les cas de prix calculés juste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Orders + GuichetAbonnement + page de tarifs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visiteur compose sa formule et voit le prix en direct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6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Billing + paiement + cycle de vie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inconnu paie et obtient son abonnement seul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7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Support + accès support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Ticket traité dans la console ; accès tracé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8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Integrations (JWT, webhooks)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La passerelle Access vérifie une licence hors ligne</w:t>
            </w:r>
          </w:p>
        </w:tc>
      </w:tr>
      <w:tr>
        <w:trPr>
          <w:cantSplit/>
        </w:trPr>
        <w:tc>
          <w:tcPr>
            <w:tcW w:type="dxa" w:w="67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9</w:t>
            </w:r>
          </w:p>
        </w:tc>
        <w:tc>
          <w:tcPr>
            <w:tcW w:type="dxa" w:w="4144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Operations + Announcements, bascule de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netbyus</w:t>
            </w:r>
          </w:p>
        </w:tc>
        <w:tc>
          <w:tcPr>
            <w:tcW w:type="dxa" w:w="482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Migration multi-bases suivie ;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netbyus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est un client ordinaire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F6B7A"/>
        <w:sz w:val="16"/>
        <w:szCs w:val="16"/>
      </w:rPr>
      <w:t xml:space="preserve">BY+ · Console NetByUs · résumé  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libri" w:cs="Calibri" w:eastAsia="Calibri" w:hAnsi="Calibri"/>
      <w:b/>
      <w:bCs/>
      <w:color w:val="1F2A3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300"/>
      <w:outlineLvl w:val="0"/>
    </w:pPr>
    <w:rPr>
      <w:rFonts w:ascii="Calibri" w:cs="Calibri" w:eastAsia="Calibri" w:hAnsi="Calibri"/>
      <w:b/>
      <w:bCs/>
      <w:color w:val="1E4E8C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200"/>
      <w:outlineLvl w:val="1"/>
    </w:pPr>
    <w:rPr>
      <w:rFonts w:ascii="Calibri" w:cs="Calibri" w:eastAsia="Calibri" w:hAnsi="Calibri"/>
      <w:b/>
      <w:bCs/>
      <w:color w:val="1F2A3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5fe4b7184e1c684792763be52a5255707bc9907.png"/><Relationship Id="rId9" Type="http://schemas.openxmlformats.org/officeDocument/2006/relationships/image" Target="media/76c38f65165aad92c02692ad8366f5954e57847b.png"/><Relationship Id="rId10" Type="http://schemas.openxmlformats.org/officeDocument/2006/relationships/image" Target="media/ba125d88c0583cb18d7f14ba2aee39c9b2d0a80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console NetByUs, en clair</dc:title>
  <dc:creator>ADAM Chacour</dc:creator>
  <cp:lastModifiedBy>Un-named</cp:lastModifiedBy>
  <cp:revision>1</cp:revision>
  <dcterms:created xsi:type="dcterms:W3CDTF">2026-09-30T17:54:48.398Z</dcterms:created>
  <dcterms:modified xsi:type="dcterms:W3CDTF">2026-09-30T17:54:48.398Z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