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header+xml" PartName="/word/header1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pPr>
        <w:spacing w:after="80" w:before="200"/>
      </w:pPr>
      <w:r>
        <w:rPr>
          <w:rFonts w:ascii="Arial" w:cs="Arial" w:eastAsia="Arial" w:hAnsi="Arial"/>
          <w:b/>
          <w:bCs/>
          <w:color w:val="1F3A5F"/>
          <w:sz w:val="44"/>
          <w:szCs w:val="44"/>
        </w:rPr>
        <w:t xml:space="preserve">Modularisation de la suite BY+</w:t>
      </w:r>
    </w:p>
    <w:p>
      <w:pPr>
        <w:spacing w:after="240"/>
      </w:pPr>
      <w:r>
        <w:rPr>
          <w:rFonts w:ascii="Arial" w:cs="Arial" w:eastAsia="Arial" w:hAnsi="Arial"/>
          <w:i/>
          <w:iCs/>
          <w:color w:val="888780"/>
          <w:sz w:val="21"/>
          <w:szCs w:val="21"/>
        </w:rPr>
        <w:t xml:space="preserve">Version courte · septembre 2026</w:t>
      </w:r>
    </w:p>
    <w:p>
      <w:pPr>
        <w:pBdr>
          <w:left w:val="single" w:color="185FA5" w:sz="18" w:space="8"/>
        </w:pBdr>
        <w:shd w:fill="EAF2FB" w:color="auto" w:val="clear"/>
        <w:spacing w:after="0" w:before="120"/>
        <w:ind w:left="160" w:right="160"/>
      </w:pPr>
      <w:r>
        <w:rPr>
          <w:rFonts w:ascii="Arial" w:cs="Arial" w:eastAsia="Arial" w:hAnsi="Arial"/>
          <w:b/>
          <w:bCs/>
          <w:color w:val="185FA5"/>
          <w:sz w:val="21"/>
          <w:szCs w:val="21"/>
        </w:rPr>
        <w:t xml:space="preserve">En une phrase</w:t>
      </w:r>
    </w:p>
    <w:p>
      <w:pPr>
        <w:pBdr>
          <w:left w:val="single" w:color="185FA5" w:sz="18" w:space="8"/>
        </w:pBdr>
        <w:shd w:fill="EAF2FB" w:color="auto" w:val="clear"/>
        <w:spacing w:after="200" w:before="0" w:line="290"/>
        <w:ind w:left="160" w:right="160"/>
      </w:pPr>
      <w:r>
        <w:rPr>
          <w:rFonts w:ascii="Arial" w:cs="Arial" w:eastAsia="Arial" w:hAnsi="Arial"/>
          <w:sz w:val="21"/>
          <w:szCs w:val="21"/>
        </w:rPr>
        <w:t xml:space="preserve">Une seule application découpée en </w:t>
      </w:r>
      <w:r>
        <w:rPr>
          <w:rFonts w:ascii="Arial" w:cs="Arial" w:eastAsia="Arial" w:hAnsi="Arial"/>
          <w:b/>
          <w:bCs/>
          <w:sz w:val="21"/>
          <w:szCs w:val="21"/>
        </w:rPr>
        <w:t xml:space="preserve">6 apps activables par client</w:t>
      </w:r>
      <w:r>
        <w:rPr>
          <w:rFonts w:ascii="Arial" w:cs="Arial" w:eastAsia="Arial" w:hAnsi="Arial"/>
          <w:sz w:val="21"/>
          <w:szCs w:val="21"/>
        </w:rPr>
        <w:t xml:space="preserve"> (Shop, ERP, CRM, RH, Access, Event), rangées en </w:t>
      </w:r>
      <w:r>
        <w:rPr>
          <w:rFonts w:ascii="Arial" w:cs="Arial" w:eastAsia="Arial" w:hAnsi="Arial"/>
          <w:b/>
          <w:bCs/>
          <w:sz w:val="21"/>
          <w:szCs w:val="21"/>
        </w:rPr>
        <w:t xml:space="preserve">3 couches</w:t>
      </w:r>
      <w:r>
        <w:rPr>
          <w:rFonts w:ascii="Arial" w:cs="Arial" w:eastAsia="Arial" w:hAnsi="Arial"/>
          <w:sz w:val="21"/>
          <w:szCs w:val="21"/>
        </w:rPr>
        <w:t xml:space="preserve"> et en </w:t>
      </w:r>
      <w:r>
        <w:rPr>
          <w:rFonts w:ascii="Arial" w:cs="Arial" w:eastAsia="Arial" w:hAnsi="Arial"/>
          <w:b/>
          <w:bCs/>
          <w:sz w:val="21"/>
          <w:szCs w:val="21"/>
        </w:rPr>
        <w:t xml:space="preserve">packages</w:t>
      </w:r>
      <w:r>
        <w:rPr>
          <w:rFonts w:ascii="Arial" w:cs="Arial" w:eastAsia="Arial" w:hAnsi="Arial"/>
          <w:sz w:val="21"/>
          <w:szCs w:val="21"/>
        </w:rPr>
        <w:t xml:space="preserve">, progressivement, sans microservices ni réécriture.</w:t>
      </w:r>
    </w:p>
    <w:p>
      <w:pPr>
        <w:pStyle w:val="Heading2"/>
      </w:pPr>
      <w:r>
        <w:t xml:space="preserve">Objectifs</w:t>
      </w:r>
    </w:p>
    <w:p>
      <w:pPr>
        <w:pStyle w:val="ListParagraph"/>
        <w:numPr>
          <w:ilvl w:val="0"/>
          <w:numId w:val="2"/>
        </w:numPr>
        <w:spacing w:after="80" w:line="290"/>
      </w:pPr>
      <w:r>
        <w:rPr>
          <w:rFonts w:ascii="Arial" w:cs="Arial" w:eastAsia="Arial" w:hAnsi="Arial"/>
          <w:b/>
          <w:bCs/>
        </w:rPr>
        <w:t xml:space="preserve">Vendre à la carte</w:t>
      </w:r>
      <w:r>
        <w:rPr>
          <w:rFonts w:ascii="Arial" w:cs="Arial" w:eastAsia="Arial" w:hAnsi="Arial"/>
        </w:rPr>
        <w:t xml:space="preserve"> : un client ne charge que ses apps.</w:t>
      </w:r>
    </w:p>
    <w:p>
      <w:pPr>
        <w:pStyle w:val="ListParagraph"/>
        <w:numPr>
          <w:ilvl w:val="0"/>
          <w:numId w:val="2"/>
        </w:numPr>
        <w:spacing w:after="80" w:line="290"/>
      </w:pPr>
      <w:r>
        <w:rPr>
          <w:rFonts w:ascii="Arial" w:cs="Arial" w:eastAsia="Arial" w:hAnsi="Arial"/>
          <w:b/>
          <w:bCs/>
        </w:rPr>
        <w:t xml:space="preserve">Apps qui coopèrent</w:t>
      </w:r>
      <w:r>
        <w:rPr>
          <w:rFonts w:ascii="Arial" w:cs="Arial" w:eastAsia="Arial" w:hAnsi="Arial"/>
        </w:rPr>
        <w:t xml:space="preserve"> sans se connaître (ex. factures visibles dans la fiche contact).</w:t>
      </w:r>
    </w:p>
    <w:p>
      <w:pPr>
        <w:pStyle w:val="ListParagraph"/>
        <w:numPr>
          <w:ilvl w:val="0"/>
          <w:numId w:val="2"/>
        </w:numPr>
        <w:spacing w:after="80" w:line="290"/>
      </w:pPr>
      <w:r>
        <w:rPr>
          <w:rFonts w:ascii="Arial" w:cs="Arial" w:eastAsia="Arial" w:hAnsi="Arial"/>
          <w:b/>
          <w:bCs/>
        </w:rPr>
        <w:t xml:space="preserve">Modifier sans peur</w:t>
      </w:r>
      <w:r>
        <w:rPr>
          <w:rFonts w:ascii="Arial" w:cs="Arial" w:eastAsia="Arial" w:hAnsi="Arial"/>
        </w:rPr>
        <w:t xml:space="preserve"> : toucher Event ne casse pas RH.</w:t>
      </w:r>
    </w:p>
    <w:p>
      <w:pPr>
        <w:pStyle w:val="Heading2"/>
      </w:pPr>
      <w:r>
        <w:t xml:space="preserve">1. Le problème</w:t>
      </w:r>
    </w:p>
    <w:p>
      <w:pPr>
        <w:spacing w:after="120" w:line="300"/>
      </w:pPr>
      <w:r>
        <w:rPr>
          <w:rFonts w:ascii="Arial" w:cs="Arial" w:eastAsia="Arial" w:hAnsi="Arial"/>
        </w:rPr>
        <w:t xml:space="preserve">57 modules où tout dépend de tout : on ne peut rien désactiver.</w:t>
      </w:r>
    </w:p>
    <w:p>
      <w:pPr>
        <w:spacing w:after="200" w:before="120"/>
        <w:jc w:val="center"/>
      </w:pPr>
      <w:r>
        <w:drawing>
          <wp:inline distT="0" distB="0" distL="0" distR="0">
            <wp:extent cx="4953000" cy="2628900"/>
            <wp:effectExtent t="0" r="0" b="0" l="0"/>
            <wp:docPr id="1" name="d1_etat_actuel" descr="d1_etat_actuel" title="d1_etat_actuel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" descr=""/>
                    <pic:cNvPicPr>
                      <a:picLocks noChangeAspect="1" noChangeArrowheads="1"/>
                    </pic:cNvPicPr>
                  </pic:nvPicPr>
                  <pic:blipFill>
                    <a:blip r:embed="rId9" cstate="none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953000" cy="26289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>
      <w:pPr>
        <w:pStyle w:val="Heading1"/>
        <w:pageBreakBefore/>
      </w:pPr>
      <w:r>
        <w:t xml:space="preserve">2. L'architecture cible</w:t>
      </w:r>
    </w:p>
    <w:p>
      <w:pPr>
        <w:spacing w:after="200" w:before="120"/>
        <w:jc w:val="center"/>
      </w:pPr>
      <w:r>
        <w:drawing>
          <wp:inline distT="0" distB="0" distL="0" distR="0">
            <wp:extent cx="5715000" cy="3657600"/>
            <wp:effectExtent t="0" r="0" b="0" l="0"/>
            <wp:docPr id="1" name="d2_couches" descr="d2_couches" title="d2_couches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" descr=""/>
                    <pic:cNvPicPr>
                      <a:picLocks noChangeAspect="1" noChangeArrowheads="1"/>
                    </pic:cNvPicPr>
                  </pic:nvPicPr>
                  <pic:blipFill>
                    <a:blip r:embed="rId10" cstate="none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715000" cy="36576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tbl>
      <w:tblPr>
        <w:tblW w:type="dxa" w:w="9638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</w:tblPr>
      <w:tblGrid>
        <w:gridCol w:w="2638"/>
        <w:gridCol w:w="1150"/>
        <w:gridCol w:w="1250"/>
        <w:gridCol w:w="1300"/>
        <w:gridCol w:w="1050"/>
        <w:gridCol w:w="1150"/>
        <w:gridCol w:w="1100"/>
      </w:tblGrid>
      <w:tr>
        <w:trPr>
          <w:tblHeader/>
        </w:trPr>
        <w:tc>
          <w:tcPr>
            <w:tcW w:type="dxa" w:w="2638"/>
            <w:tcBorders>
              <w:top w:val="single" w:color="C9C7BE" w:sz="4"/>
              <w:left w:val="single" w:color="C9C7BE" w:sz="4"/>
              <w:bottom w:val="single" w:color="C9C7BE" w:sz="4"/>
              <w:right w:val="single" w:color="C9C7BE" w:sz="4"/>
            </w:tcBorders>
            <w:shd w:fill="1F3A5F" w:color="auto" w:val="clear"/>
            <w:tcMar>
              <w:top w:type="dxa" w:w="70"/>
              <w:left w:type="dxa" w:w="110"/>
              <w:bottom w:type="dxa" w:w="70"/>
              <w:right w:type="dxa" w:w="110"/>
            </w:tcMar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color w:val="FFFFFF"/>
                <w:sz w:val="19"/>
                <w:szCs w:val="19"/>
              </w:rPr>
              <w:t xml:space="preserve">Service partagé</w:t>
            </w:r>
          </w:p>
        </w:tc>
        <w:tc>
          <w:tcPr>
            <w:tcW w:type="dxa" w:w="1150"/>
            <w:tcBorders>
              <w:top w:val="single" w:color="C9C7BE" w:sz="4"/>
              <w:left w:val="single" w:color="C9C7BE" w:sz="4"/>
              <w:bottom w:val="single" w:color="C9C7BE" w:sz="4"/>
              <w:right w:val="single" w:color="C9C7BE" w:sz="4"/>
            </w:tcBorders>
            <w:shd w:fill="1F3A5F" w:color="auto" w:val="clear"/>
            <w:tcMar>
              <w:top w:type="dxa" w:w="70"/>
              <w:left w:type="dxa" w:w="110"/>
              <w:bottom w:type="dxa" w:w="70"/>
              <w:right w:type="dxa" w:w="110"/>
            </w:tcMar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color w:val="FFFFFF"/>
                <w:sz w:val="19"/>
                <w:szCs w:val="19"/>
              </w:rPr>
              <w:t xml:space="preserve">Shop</w:t>
            </w:r>
          </w:p>
        </w:tc>
        <w:tc>
          <w:tcPr>
            <w:tcW w:type="dxa" w:w="1250"/>
            <w:tcBorders>
              <w:top w:val="single" w:color="C9C7BE" w:sz="4"/>
              <w:left w:val="single" w:color="C9C7BE" w:sz="4"/>
              <w:bottom w:val="single" w:color="C9C7BE" w:sz="4"/>
              <w:right w:val="single" w:color="C9C7BE" w:sz="4"/>
            </w:tcBorders>
            <w:shd w:fill="1F3A5F" w:color="auto" w:val="clear"/>
            <w:tcMar>
              <w:top w:type="dxa" w:w="70"/>
              <w:left w:type="dxa" w:w="110"/>
              <w:bottom w:type="dxa" w:w="70"/>
              <w:right w:type="dxa" w:w="110"/>
            </w:tcMar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color w:val="FFFFFF"/>
                <w:sz w:val="19"/>
                <w:szCs w:val="19"/>
              </w:rPr>
              <w:t xml:space="preserve">ERP</w:t>
            </w:r>
          </w:p>
        </w:tc>
        <w:tc>
          <w:tcPr>
            <w:tcW w:type="dxa" w:w="1300"/>
            <w:tcBorders>
              <w:top w:val="single" w:color="C9C7BE" w:sz="4"/>
              <w:left w:val="single" w:color="C9C7BE" w:sz="4"/>
              <w:bottom w:val="single" w:color="C9C7BE" w:sz="4"/>
              <w:right w:val="single" w:color="C9C7BE" w:sz="4"/>
            </w:tcBorders>
            <w:shd w:fill="1F3A5F" w:color="auto" w:val="clear"/>
            <w:tcMar>
              <w:top w:type="dxa" w:w="70"/>
              <w:left w:type="dxa" w:w="110"/>
              <w:bottom w:type="dxa" w:w="70"/>
              <w:right w:type="dxa" w:w="110"/>
            </w:tcMar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color w:val="FFFFFF"/>
                <w:sz w:val="19"/>
                <w:szCs w:val="19"/>
              </w:rPr>
              <w:t xml:space="preserve">CRM</w:t>
            </w:r>
          </w:p>
        </w:tc>
        <w:tc>
          <w:tcPr>
            <w:tcW w:type="dxa" w:w="1050"/>
            <w:tcBorders>
              <w:top w:val="single" w:color="C9C7BE" w:sz="4"/>
              <w:left w:val="single" w:color="C9C7BE" w:sz="4"/>
              <w:bottom w:val="single" w:color="C9C7BE" w:sz="4"/>
              <w:right w:val="single" w:color="C9C7BE" w:sz="4"/>
            </w:tcBorders>
            <w:shd w:fill="1F3A5F" w:color="auto" w:val="clear"/>
            <w:tcMar>
              <w:top w:type="dxa" w:w="70"/>
              <w:left w:type="dxa" w:w="110"/>
              <w:bottom w:type="dxa" w:w="70"/>
              <w:right w:type="dxa" w:w="110"/>
            </w:tcMar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color w:val="FFFFFF"/>
                <w:sz w:val="19"/>
                <w:szCs w:val="19"/>
              </w:rPr>
              <w:t xml:space="preserve">RH</w:t>
            </w:r>
          </w:p>
        </w:tc>
        <w:tc>
          <w:tcPr>
            <w:tcW w:type="dxa" w:w="1150"/>
            <w:tcBorders>
              <w:top w:val="single" w:color="C9C7BE" w:sz="4"/>
              <w:left w:val="single" w:color="C9C7BE" w:sz="4"/>
              <w:bottom w:val="single" w:color="C9C7BE" w:sz="4"/>
              <w:right w:val="single" w:color="C9C7BE" w:sz="4"/>
            </w:tcBorders>
            <w:shd w:fill="1F3A5F" w:color="auto" w:val="clear"/>
            <w:tcMar>
              <w:top w:type="dxa" w:w="70"/>
              <w:left w:type="dxa" w:w="110"/>
              <w:bottom w:type="dxa" w:w="70"/>
              <w:right w:type="dxa" w:w="110"/>
            </w:tcMar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color w:val="FFFFFF"/>
                <w:sz w:val="19"/>
                <w:szCs w:val="19"/>
              </w:rPr>
              <w:t xml:space="preserve">Access</w:t>
            </w:r>
          </w:p>
        </w:tc>
        <w:tc>
          <w:tcPr>
            <w:tcW w:type="dxa" w:w="1100"/>
            <w:tcBorders>
              <w:top w:val="single" w:color="C9C7BE" w:sz="4"/>
              <w:left w:val="single" w:color="C9C7BE" w:sz="4"/>
              <w:bottom w:val="single" w:color="C9C7BE" w:sz="4"/>
              <w:right w:val="single" w:color="C9C7BE" w:sz="4"/>
            </w:tcBorders>
            <w:shd w:fill="1F3A5F" w:color="auto" w:val="clear"/>
            <w:tcMar>
              <w:top w:type="dxa" w:w="70"/>
              <w:left w:type="dxa" w:w="110"/>
              <w:bottom w:type="dxa" w:w="70"/>
              <w:right w:type="dxa" w:w="110"/>
            </w:tcMar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color w:val="FFFFFF"/>
                <w:sz w:val="19"/>
                <w:szCs w:val="19"/>
              </w:rPr>
              <w:t xml:space="preserve">Event</w:t>
            </w:r>
          </w:p>
        </w:tc>
      </w:tr>
      <w:tr>
        <w:trPr>
          <w:cantSplit/>
        </w:trPr>
        <w:tc>
          <w:tcPr>
            <w:tcW w:type="dxa" w:w="2638"/>
            <w:tcBorders>
              <w:top w:val="single" w:color="C9C7BE" w:sz="4"/>
              <w:left w:val="single" w:color="C9C7BE" w:sz="4"/>
              <w:bottom w:val="single" w:color="C9C7BE" w:sz="4"/>
              <w:right w:val="single" w:color="C9C7BE" w:sz="4"/>
            </w:tcBorders>
            <w:shd w:fill="EEF3F8" w:color="auto" w:val="clear"/>
            <w:tcMar>
              <w:top w:type="dxa" w:w="70"/>
              <w:left w:type="dxa" w:w="110"/>
              <w:bottom w:type="dxa" w:w="70"/>
              <w:right w:type="dxa" w:w="110"/>
            </w:tcMar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Contact</w:t>
            </w:r>
          </w:p>
        </w:tc>
        <w:tc>
          <w:tcPr>
            <w:tcW w:type="dxa" w:w="1150"/>
            <w:tcBorders>
              <w:top w:val="single" w:color="C9C7BE" w:sz="4"/>
              <w:left w:val="single" w:color="C9C7BE" w:sz="4"/>
              <w:bottom w:val="single" w:color="C9C7BE" w:sz="4"/>
              <w:right w:val="single" w:color="C9C7BE" w:sz="4"/>
            </w:tcBorders>
            <w:shd w:fill="FFFFFF" w:color="auto" w:val="clear"/>
            <w:tcMar>
              <w:top w:type="dxa" w:w="70"/>
              <w:left w:type="dxa" w:w="110"/>
              <w:bottom w:type="dxa" w:w="70"/>
              <w:right w:type="dxa" w:w="110"/>
            </w:tcMar>
          </w:tcPr>
          <w:p>
            <w:pPr>
              <w:jc w:val="center"/>
            </w:pPr>
            <w:r>
              <w:rPr>
                <w:rFonts w:ascii="Arial" w:cs="Arial" w:eastAsia="Arial" w:hAnsi="Arial"/>
                <w:b w:val="false"/>
                <w:bCs w:val="false"/>
                <w:sz w:val="19"/>
                <w:szCs w:val="19"/>
              </w:rPr>
              <w:t xml:space="preserve">✓</w:t>
            </w:r>
          </w:p>
        </w:tc>
        <w:tc>
          <w:tcPr>
            <w:tcW w:type="dxa" w:w="1250"/>
            <w:tcBorders>
              <w:top w:val="single" w:color="C9C7BE" w:sz="4"/>
              <w:left w:val="single" w:color="C9C7BE" w:sz="4"/>
              <w:bottom w:val="single" w:color="C9C7BE" w:sz="4"/>
              <w:right w:val="single" w:color="C9C7BE" w:sz="4"/>
            </w:tcBorders>
            <w:shd w:fill="FFFFFF" w:color="auto" w:val="clear"/>
            <w:tcMar>
              <w:top w:type="dxa" w:w="70"/>
              <w:left w:type="dxa" w:w="110"/>
              <w:bottom w:type="dxa" w:w="70"/>
              <w:right w:type="dxa" w:w="110"/>
            </w:tcMar>
          </w:tcPr>
          <w:p>
            <w:pPr>
              <w:jc w:val="center"/>
            </w:pPr>
            <w:r>
              <w:rPr>
                <w:rFonts w:ascii="Arial" w:cs="Arial" w:eastAsia="Arial" w:hAnsi="Arial"/>
                <w:b w:val="false"/>
                <w:bCs w:val="false"/>
                <w:sz w:val="19"/>
                <w:szCs w:val="19"/>
              </w:rPr>
              <w:t xml:space="preserve">✓</w:t>
            </w:r>
          </w:p>
        </w:tc>
        <w:tc>
          <w:tcPr>
            <w:tcW w:type="dxa" w:w="1300"/>
            <w:tcBorders>
              <w:top w:val="single" w:color="C9C7BE" w:sz="4"/>
              <w:left w:val="single" w:color="C9C7BE" w:sz="4"/>
              <w:bottom w:val="single" w:color="C9C7BE" w:sz="4"/>
              <w:right w:val="single" w:color="C9C7BE" w:sz="4"/>
            </w:tcBorders>
            <w:shd w:fill="FFFFFF" w:color="auto" w:val="clear"/>
            <w:tcMar>
              <w:top w:type="dxa" w:w="70"/>
              <w:left w:type="dxa" w:w="110"/>
              <w:bottom w:type="dxa" w:w="70"/>
              <w:right w:type="dxa" w:w="110"/>
            </w:tcMar>
          </w:tcPr>
          <w:p>
            <w:pPr>
              <w:jc w:val="center"/>
            </w:pPr>
            <w:r>
              <w:rPr>
                <w:rFonts w:ascii="Arial" w:cs="Arial" w:eastAsia="Arial" w:hAnsi="Arial"/>
                <w:b w:val="false"/>
                <w:bCs w:val="false"/>
                <w:sz w:val="19"/>
                <w:szCs w:val="19"/>
              </w:rPr>
              <w:t xml:space="preserve">✓</w:t>
            </w:r>
          </w:p>
        </w:tc>
        <w:tc>
          <w:tcPr>
            <w:tcW w:type="dxa" w:w="1050"/>
            <w:tcBorders>
              <w:top w:val="single" w:color="C9C7BE" w:sz="4"/>
              <w:left w:val="single" w:color="C9C7BE" w:sz="4"/>
              <w:bottom w:val="single" w:color="C9C7BE" w:sz="4"/>
              <w:right w:val="single" w:color="C9C7BE" w:sz="4"/>
            </w:tcBorders>
            <w:shd w:fill="FFFFFF" w:color="auto" w:val="clear"/>
            <w:tcMar>
              <w:top w:type="dxa" w:w="70"/>
              <w:left w:type="dxa" w:w="110"/>
              <w:bottom w:type="dxa" w:w="70"/>
              <w:right w:type="dxa" w:w="110"/>
            </w:tcMar>
          </w:tcPr>
          <w:p>
            <w:pPr>
              <w:jc w:val="center"/>
            </w:pPr>
            <w:r>
              <w:rPr>
                <w:rFonts w:ascii="Arial" w:cs="Arial" w:eastAsia="Arial" w:hAnsi="Arial"/>
                <w:b w:val="false"/>
                <w:bCs w:val="false"/>
                <w:sz w:val="19"/>
                <w:szCs w:val="19"/>
              </w:rPr>
              <w:t xml:space="preserve">✓</w:t>
            </w:r>
          </w:p>
        </w:tc>
        <w:tc>
          <w:tcPr>
            <w:tcW w:type="dxa" w:w="1150"/>
            <w:tcBorders>
              <w:top w:val="single" w:color="C9C7BE" w:sz="4"/>
              <w:left w:val="single" w:color="C9C7BE" w:sz="4"/>
              <w:bottom w:val="single" w:color="C9C7BE" w:sz="4"/>
              <w:right w:val="single" w:color="C9C7BE" w:sz="4"/>
            </w:tcBorders>
            <w:shd w:fill="FFFFFF" w:color="auto" w:val="clear"/>
            <w:tcMar>
              <w:top w:type="dxa" w:w="70"/>
              <w:left w:type="dxa" w:w="110"/>
              <w:bottom w:type="dxa" w:w="70"/>
              <w:right w:type="dxa" w:w="110"/>
            </w:tcMar>
          </w:tcPr>
          <w:p>
            <w:pPr>
              <w:jc w:val="center"/>
            </w:pPr>
            <w:r>
              <w:rPr>
                <w:rFonts w:ascii="Arial" w:cs="Arial" w:eastAsia="Arial" w:hAnsi="Arial"/>
                <w:b w:val="false"/>
                <w:bCs w:val="false"/>
                <w:sz w:val="19"/>
                <w:szCs w:val="19"/>
              </w:rPr>
              <w:t xml:space="preserve">✓</w:t>
            </w:r>
          </w:p>
        </w:tc>
        <w:tc>
          <w:tcPr>
            <w:tcW w:type="dxa" w:w="1100"/>
            <w:tcBorders>
              <w:top w:val="single" w:color="C9C7BE" w:sz="4"/>
              <w:left w:val="single" w:color="C9C7BE" w:sz="4"/>
              <w:bottom w:val="single" w:color="C9C7BE" w:sz="4"/>
              <w:right w:val="single" w:color="C9C7BE" w:sz="4"/>
            </w:tcBorders>
            <w:shd w:fill="FFFFFF" w:color="auto" w:val="clear"/>
            <w:tcMar>
              <w:top w:type="dxa" w:w="70"/>
              <w:left w:type="dxa" w:w="110"/>
              <w:bottom w:type="dxa" w:w="70"/>
              <w:right w:type="dxa" w:w="110"/>
            </w:tcMar>
          </w:tcPr>
          <w:p>
            <w:pPr>
              <w:jc w:val="center"/>
            </w:pPr>
            <w:r>
              <w:rPr>
                <w:rFonts w:ascii="Arial" w:cs="Arial" w:eastAsia="Arial" w:hAnsi="Arial"/>
                <w:b w:val="false"/>
                <w:bCs w:val="false"/>
                <w:sz w:val="19"/>
                <w:szCs w:val="19"/>
              </w:rPr>
              <w:t xml:space="preserve">✓</w:t>
            </w:r>
          </w:p>
        </w:tc>
      </w:tr>
      <w:tr>
        <w:trPr>
          <w:cantSplit/>
        </w:trPr>
        <w:tc>
          <w:tcPr>
            <w:tcW w:type="dxa" w:w="2638"/>
            <w:tcBorders>
              <w:top w:val="single" w:color="C9C7BE" w:sz="4"/>
              <w:left w:val="single" w:color="C9C7BE" w:sz="4"/>
              <w:bottom w:val="single" w:color="C9C7BE" w:sz="4"/>
              <w:right w:val="single" w:color="C9C7BE" w:sz="4"/>
            </w:tcBorders>
            <w:shd w:fill="EEF3F8" w:color="auto" w:val="clear"/>
            <w:tcMar>
              <w:top w:type="dxa" w:w="70"/>
              <w:left w:type="dxa" w:w="110"/>
              <w:bottom w:type="dxa" w:w="70"/>
              <w:right w:type="dxa" w:w="110"/>
            </w:tcMar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Produit</w:t>
            </w:r>
          </w:p>
        </w:tc>
        <w:tc>
          <w:tcPr>
            <w:tcW w:type="dxa" w:w="1150"/>
            <w:tcBorders>
              <w:top w:val="single" w:color="C9C7BE" w:sz="4"/>
              <w:left w:val="single" w:color="C9C7BE" w:sz="4"/>
              <w:bottom w:val="single" w:color="C9C7BE" w:sz="4"/>
              <w:right w:val="single" w:color="C9C7BE" w:sz="4"/>
            </w:tcBorders>
            <w:shd w:fill="FAFAF7" w:color="auto" w:val="clear"/>
            <w:tcMar>
              <w:top w:type="dxa" w:w="70"/>
              <w:left w:type="dxa" w:w="110"/>
              <w:bottom w:type="dxa" w:w="70"/>
              <w:right w:type="dxa" w:w="110"/>
            </w:tcMar>
          </w:tcPr>
          <w:p>
            <w:pPr>
              <w:jc w:val="center"/>
            </w:pPr>
            <w:r>
              <w:rPr>
                <w:rFonts w:ascii="Arial" w:cs="Arial" w:eastAsia="Arial" w:hAnsi="Arial"/>
                <w:b w:val="false"/>
                <w:bCs w:val="false"/>
                <w:sz w:val="19"/>
                <w:szCs w:val="19"/>
              </w:rPr>
              <w:t xml:space="preserve">✓</w:t>
            </w:r>
          </w:p>
        </w:tc>
        <w:tc>
          <w:tcPr>
            <w:tcW w:type="dxa" w:w="1250"/>
            <w:tcBorders>
              <w:top w:val="single" w:color="C9C7BE" w:sz="4"/>
              <w:left w:val="single" w:color="C9C7BE" w:sz="4"/>
              <w:bottom w:val="single" w:color="C9C7BE" w:sz="4"/>
              <w:right w:val="single" w:color="C9C7BE" w:sz="4"/>
            </w:tcBorders>
            <w:shd w:fill="FAFAF7" w:color="auto" w:val="clear"/>
            <w:tcMar>
              <w:top w:type="dxa" w:w="70"/>
              <w:left w:type="dxa" w:w="110"/>
              <w:bottom w:type="dxa" w:w="70"/>
              <w:right w:type="dxa" w:w="110"/>
            </w:tcMar>
          </w:tcPr>
          <w:p>
            <w:pPr>
              <w:jc w:val="center"/>
            </w:pPr>
            <w:r>
              <w:rPr>
                <w:rFonts w:ascii="Arial" w:cs="Arial" w:eastAsia="Arial" w:hAnsi="Arial"/>
                <w:b w:val="false"/>
                <w:bCs w:val="false"/>
                <w:sz w:val="19"/>
                <w:szCs w:val="19"/>
              </w:rPr>
              <w:t xml:space="preserve">✓</w:t>
            </w:r>
          </w:p>
        </w:tc>
        <w:tc>
          <w:tcPr>
            <w:tcW w:type="dxa" w:w="1300"/>
            <w:tcBorders>
              <w:top w:val="single" w:color="C9C7BE" w:sz="4"/>
              <w:left w:val="single" w:color="C9C7BE" w:sz="4"/>
              <w:bottom w:val="single" w:color="C9C7BE" w:sz="4"/>
              <w:right w:val="single" w:color="C9C7BE" w:sz="4"/>
            </w:tcBorders>
            <w:shd w:fill="FAFAF7" w:color="auto" w:val="clear"/>
            <w:tcMar>
              <w:top w:type="dxa" w:w="70"/>
              <w:left w:type="dxa" w:w="110"/>
              <w:bottom w:type="dxa" w:w="70"/>
              <w:right w:type="dxa" w:w="110"/>
            </w:tcMar>
          </w:tcPr>
          <w:p>
            <w:pPr>
              <w:jc w:val="center"/>
            </w:pPr>
            <w:r>
              <w:rPr>
                <w:rFonts w:ascii="Arial" w:cs="Arial" w:eastAsia="Arial" w:hAnsi="Arial"/>
                <w:b w:val="false"/>
                <w:bCs w:val="false"/>
                <w:sz w:val="19"/>
                <w:szCs w:val="19"/>
              </w:rPr>
              <w:t xml:space="preserve">✓</w:t>
            </w:r>
          </w:p>
        </w:tc>
        <w:tc>
          <w:tcPr>
            <w:tcW w:type="dxa" w:w="1050"/>
            <w:tcBorders>
              <w:top w:val="single" w:color="C9C7BE" w:sz="4"/>
              <w:left w:val="single" w:color="C9C7BE" w:sz="4"/>
              <w:bottom w:val="single" w:color="C9C7BE" w:sz="4"/>
              <w:right w:val="single" w:color="C9C7BE" w:sz="4"/>
            </w:tcBorders>
            <w:shd w:fill="FAFAF7" w:color="auto" w:val="clear"/>
            <w:tcMar>
              <w:top w:type="dxa" w:w="70"/>
              <w:left w:type="dxa" w:w="110"/>
              <w:bottom w:type="dxa" w:w="70"/>
              <w:right w:type="dxa" w:w="110"/>
            </w:tcMar>
          </w:tcPr>
          <w:p>
            <w:pPr>
              <w:jc w:val="center"/>
            </w:pPr>
          </w:p>
        </w:tc>
        <w:tc>
          <w:tcPr>
            <w:tcW w:type="dxa" w:w="1150"/>
            <w:tcBorders>
              <w:top w:val="single" w:color="C9C7BE" w:sz="4"/>
              <w:left w:val="single" w:color="C9C7BE" w:sz="4"/>
              <w:bottom w:val="single" w:color="C9C7BE" w:sz="4"/>
              <w:right w:val="single" w:color="C9C7BE" w:sz="4"/>
            </w:tcBorders>
            <w:shd w:fill="FAFAF7" w:color="auto" w:val="clear"/>
            <w:tcMar>
              <w:top w:type="dxa" w:w="70"/>
              <w:left w:type="dxa" w:w="110"/>
              <w:bottom w:type="dxa" w:w="70"/>
              <w:right w:type="dxa" w:w="110"/>
            </w:tcMar>
          </w:tcPr>
          <w:p>
            <w:pPr>
              <w:jc w:val="center"/>
            </w:pPr>
          </w:p>
        </w:tc>
        <w:tc>
          <w:tcPr>
            <w:tcW w:type="dxa" w:w="1100"/>
            <w:tcBorders>
              <w:top w:val="single" w:color="C9C7BE" w:sz="4"/>
              <w:left w:val="single" w:color="C9C7BE" w:sz="4"/>
              <w:bottom w:val="single" w:color="C9C7BE" w:sz="4"/>
              <w:right w:val="single" w:color="C9C7BE" w:sz="4"/>
            </w:tcBorders>
            <w:shd w:fill="FAFAF7" w:color="auto" w:val="clear"/>
            <w:tcMar>
              <w:top w:type="dxa" w:w="70"/>
              <w:left w:type="dxa" w:w="110"/>
              <w:bottom w:type="dxa" w:w="70"/>
              <w:right w:type="dxa" w:w="110"/>
            </w:tcMar>
          </w:tcPr>
          <w:p>
            <w:pPr>
              <w:jc w:val="center"/>
            </w:pPr>
          </w:p>
        </w:tc>
      </w:tr>
      <w:tr>
        <w:trPr>
          <w:cantSplit/>
        </w:trPr>
        <w:tc>
          <w:tcPr>
            <w:tcW w:type="dxa" w:w="2638"/>
            <w:tcBorders>
              <w:top w:val="single" w:color="C9C7BE" w:sz="4"/>
              <w:left w:val="single" w:color="C9C7BE" w:sz="4"/>
              <w:bottom w:val="single" w:color="C9C7BE" w:sz="4"/>
              <w:right w:val="single" w:color="C9C7BE" w:sz="4"/>
            </w:tcBorders>
            <w:shd w:fill="EEF3F8" w:color="auto" w:val="clear"/>
            <w:tcMar>
              <w:top w:type="dxa" w:w="70"/>
              <w:left w:type="dxa" w:w="110"/>
              <w:bottom w:type="dxa" w:w="70"/>
              <w:right w:type="dxa" w:w="110"/>
            </w:tcMar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Facturation</w:t>
            </w:r>
          </w:p>
        </w:tc>
        <w:tc>
          <w:tcPr>
            <w:tcW w:type="dxa" w:w="1150"/>
            <w:tcBorders>
              <w:top w:val="single" w:color="C9C7BE" w:sz="4"/>
              <w:left w:val="single" w:color="C9C7BE" w:sz="4"/>
              <w:bottom w:val="single" w:color="C9C7BE" w:sz="4"/>
              <w:right w:val="single" w:color="C9C7BE" w:sz="4"/>
            </w:tcBorders>
            <w:shd w:fill="FFFFFF" w:color="auto" w:val="clear"/>
            <w:tcMar>
              <w:top w:type="dxa" w:w="70"/>
              <w:left w:type="dxa" w:w="110"/>
              <w:bottom w:type="dxa" w:w="70"/>
              <w:right w:type="dxa" w:w="110"/>
            </w:tcMar>
          </w:tcPr>
          <w:p>
            <w:pPr>
              <w:jc w:val="center"/>
            </w:pPr>
          </w:p>
        </w:tc>
        <w:tc>
          <w:tcPr>
            <w:tcW w:type="dxa" w:w="1250"/>
            <w:tcBorders>
              <w:top w:val="single" w:color="C9C7BE" w:sz="4"/>
              <w:left w:val="single" w:color="C9C7BE" w:sz="4"/>
              <w:bottom w:val="single" w:color="C9C7BE" w:sz="4"/>
              <w:right w:val="single" w:color="C9C7BE" w:sz="4"/>
            </w:tcBorders>
            <w:shd w:fill="FFFFFF" w:color="auto" w:val="clear"/>
            <w:tcMar>
              <w:top w:type="dxa" w:w="70"/>
              <w:left w:type="dxa" w:w="110"/>
              <w:bottom w:type="dxa" w:w="70"/>
              <w:right w:type="dxa" w:w="110"/>
            </w:tcMar>
          </w:tcPr>
          <w:p>
            <w:pPr>
              <w:jc w:val="center"/>
            </w:pPr>
            <w:r>
              <w:rPr>
                <w:rFonts w:ascii="Arial" w:cs="Arial" w:eastAsia="Arial" w:hAnsi="Arial"/>
                <w:b w:val="false"/>
                <w:bCs w:val="false"/>
                <w:sz w:val="19"/>
                <w:szCs w:val="19"/>
              </w:rPr>
              <w:t xml:space="preserve">simple</w:t>
            </w:r>
          </w:p>
        </w:tc>
        <w:tc>
          <w:tcPr>
            <w:tcW w:type="dxa" w:w="1300"/>
            <w:tcBorders>
              <w:top w:val="single" w:color="C9C7BE" w:sz="4"/>
              <w:left w:val="single" w:color="C9C7BE" w:sz="4"/>
              <w:bottom w:val="single" w:color="C9C7BE" w:sz="4"/>
              <w:right w:val="single" w:color="C9C7BE" w:sz="4"/>
            </w:tcBorders>
            <w:shd w:fill="FFFFFF" w:color="auto" w:val="clear"/>
            <w:tcMar>
              <w:top w:type="dxa" w:w="70"/>
              <w:left w:type="dxa" w:w="110"/>
              <w:bottom w:type="dxa" w:w="70"/>
              <w:right w:type="dxa" w:w="110"/>
            </w:tcMar>
          </w:tcPr>
          <w:p>
            <w:pPr>
              <w:jc w:val="center"/>
            </w:pPr>
            <w:r>
              <w:rPr>
                <w:rFonts w:ascii="Arial" w:cs="Arial" w:eastAsia="Arial" w:hAnsi="Arial"/>
                <w:b w:val="false"/>
                <w:bCs w:val="false"/>
                <w:sz w:val="19"/>
                <w:szCs w:val="19"/>
              </w:rPr>
              <w:t xml:space="preserve">complète</w:t>
            </w:r>
          </w:p>
        </w:tc>
        <w:tc>
          <w:tcPr>
            <w:tcW w:type="dxa" w:w="1050"/>
            <w:tcBorders>
              <w:top w:val="single" w:color="C9C7BE" w:sz="4"/>
              <w:left w:val="single" w:color="C9C7BE" w:sz="4"/>
              <w:bottom w:val="single" w:color="C9C7BE" w:sz="4"/>
              <w:right w:val="single" w:color="C9C7BE" w:sz="4"/>
            </w:tcBorders>
            <w:shd w:fill="FFFFFF" w:color="auto" w:val="clear"/>
            <w:tcMar>
              <w:top w:type="dxa" w:w="70"/>
              <w:left w:type="dxa" w:w="110"/>
              <w:bottom w:type="dxa" w:w="70"/>
              <w:right w:type="dxa" w:w="110"/>
            </w:tcMar>
          </w:tcPr>
          <w:p>
            <w:pPr>
              <w:jc w:val="center"/>
            </w:pPr>
            <w:r>
              <w:rPr>
                <w:rFonts w:ascii="Arial" w:cs="Arial" w:eastAsia="Arial" w:hAnsi="Arial"/>
                <w:b w:val="false"/>
                <w:bCs w:val="false"/>
                <w:sz w:val="19"/>
                <w:szCs w:val="19"/>
              </w:rPr>
              <w:t xml:space="preserve">?</w:t>
            </w:r>
          </w:p>
        </w:tc>
        <w:tc>
          <w:tcPr>
            <w:tcW w:type="dxa" w:w="1150"/>
            <w:tcBorders>
              <w:top w:val="single" w:color="C9C7BE" w:sz="4"/>
              <w:left w:val="single" w:color="C9C7BE" w:sz="4"/>
              <w:bottom w:val="single" w:color="C9C7BE" w:sz="4"/>
              <w:right w:val="single" w:color="C9C7BE" w:sz="4"/>
            </w:tcBorders>
            <w:shd w:fill="FFFFFF" w:color="auto" w:val="clear"/>
            <w:tcMar>
              <w:top w:type="dxa" w:w="70"/>
              <w:left w:type="dxa" w:w="110"/>
              <w:bottom w:type="dxa" w:w="70"/>
              <w:right w:type="dxa" w:w="110"/>
            </w:tcMar>
          </w:tcPr>
          <w:p>
            <w:pPr>
              <w:jc w:val="center"/>
            </w:pPr>
          </w:p>
        </w:tc>
        <w:tc>
          <w:tcPr>
            <w:tcW w:type="dxa" w:w="1100"/>
            <w:tcBorders>
              <w:top w:val="single" w:color="C9C7BE" w:sz="4"/>
              <w:left w:val="single" w:color="C9C7BE" w:sz="4"/>
              <w:bottom w:val="single" w:color="C9C7BE" w:sz="4"/>
              <w:right w:val="single" w:color="C9C7BE" w:sz="4"/>
            </w:tcBorders>
            <w:shd w:fill="FFFFFF" w:color="auto" w:val="clear"/>
            <w:tcMar>
              <w:top w:type="dxa" w:w="70"/>
              <w:left w:type="dxa" w:w="110"/>
              <w:bottom w:type="dxa" w:w="70"/>
              <w:right w:type="dxa" w:w="110"/>
            </w:tcMar>
          </w:tcPr>
          <w:p>
            <w:pPr>
              <w:jc w:val="center"/>
            </w:pPr>
          </w:p>
        </w:tc>
      </w:tr>
      <w:tr>
        <w:trPr>
          <w:cantSplit/>
        </w:trPr>
        <w:tc>
          <w:tcPr>
            <w:tcW w:type="dxa" w:w="2638"/>
            <w:tcBorders>
              <w:top w:val="single" w:color="C9C7BE" w:sz="4"/>
              <w:left w:val="single" w:color="C9C7BE" w:sz="4"/>
              <w:bottom w:val="single" w:color="C9C7BE" w:sz="4"/>
              <w:right w:val="single" w:color="C9C7BE" w:sz="4"/>
            </w:tcBorders>
            <w:shd w:fill="EEF3F8" w:color="auto" w:val="clear"/>
            <w:tcMar>
              <w:top w:type="dxa" w:w="70"/>
              <w:left w:type="dxa" w:w="110"/>
              <w:bottom w:type="dxa" w:w="70"/>
              <w:right w:type="dxa" w:w="110"/>
            </w:tcMar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Personnel</w:t>
            </w:r>
          </w:p>
        </w:tc>
        <w:tc>
          <w:tcPr>
            <w:tcW w:type="dxa" w:w="1150"/>
            <w:tcBorders>
              <w:top w:val="single" w:color="C9C7BE" w:sz="4"/>
              <w:left w:val="single" w:color="C9C7BE" w:sz="4"/>
              <w:bottom w:val="single" w:color="C9C7BE" w:sz="4"/>
              <w:right w:val="single" w:color="C9C7BE" w:sz="4"/>
            </w:tcBorders>
            <w:shd w:fill="FAFAF7" w:color="auto" w:val="clear"/>
            <w:tcMar>
              <w:top w:type="dxa" w:w="70"/>
              <w:left w:type="dxa" w:w="110"/>
              <w:bottom w:type="dxa" w:w="70"/>
              <w:right w:type="dxa" w:w="110"/>
            </w:tcMar>
          </w:tcPr>
          <w:p>
            <w:pPr>
              <w:jc w:val="center"/>
            </w:pPr>
          </w:p>
        </w:tc>
        <w:tc>
          <w:tcPr>
            <w:tcW w:type="dxa" w:w="1250"/>
            <w:tcBorders>
              <w:top w:val="single" w:color="C9C7BE" w:sz="4"/>
              <w:left w:val="single" w:color="C9C7BE" w:sz="4"/>
              <w:bottom w:val="single" w:color="C9C7BE" w:sz="4"/>
              <w:right w:val="single" w:color="C9C7BE" w:sz="4"/>
            </w:tcBorders>
            <w:shd w:fill="FAFAF7" w:color="auto" w:val="clear"/>
            <w:tcMar>
              <w:top w:type="dxa" w:w="70"/>
              <w:left w:type="dxa" w:w="110"/>
              <w:bottom w:type="dxa" w:w="70"/>
              <w:right w:type="dxa" w:w="110"/>
            </w:tcMar>
          </w:tcPr>
          <w:p>
            <w:pPr>
              <w:jc w:val="center"/>
            </w:pPr>
            <w:r>
              <w:rPr>
                <w:rFonts w:ascii="Arial" w:cs="Arial" w:eastAsia="Arial" w:hAnsi="Arial"/>
                <w:b w:val="false"/>
                <w:bCs w:val="false"/>
                <w:sz w:val="19"/>
                <w:szCs w:val="19"/>
              </w:rPr>
              <w:t xml:space="preserve">✓</w:t>
            </w:r>
          </w:p>
        </w:tc>
        <w:tc>
          <w:tcPr>
            <w:tcW w:type="dxa" w:w="1300"/>
            <w:tcBorders>
              <w:top w:val="single" w:color="C9C7BE" w:sz="4"/>
              <w:left w:val="single" w:color="C9C7BE" w:sz="4"/>
              <w:bottom w:val="single" w:color="C9C7BE" w:sz="4"/>
              <w:right w:val="single" w:color="C9C7BE" w:sz="4"/>
            </w:tcBorders>
            <w:shd w:fill="FAFAF7" w:color="auto" w:val="clear"/>
            <w:tcMar>
              <w:top w:type="dxa" w:w="70"/>
              <w:left w:type="dxa" w:w="110"/>
              <w:bottom w:type="dxa" w:w="70"/>
              <w:right w:type="dxa" w:w="110"/>
            </w:tcMar>
          </w:tcPr>
          <w:p>
            <w:pPr>
              <w:jc w:val="center"/>
            </w:pPr>
          </w:p>
        </w:tc>
        <w:tc>
          <w:tcPr>
            <w:tcW w:type="dxa" w:w="1050"/>
            <w:tcBorders>
              <w:top w:val="single" w:color="C9C7BE" w:sz="4"/>
              <w:left w:val="single" w:color="C9C7BE" w:sz="4"/>
              <w:bottom w:val="single" w:color="C9C7BE" w:sz="4"/>
              <w:right w:val="single" w:color="C9C7BE" w:sz="4"/>
            </w:tcBorders>
            <w:shd w:fill="FAFAF7" w:color="auto" w:val="clear"/>
            <w:tcMar>
              <w:top w:type="dxa" w:w="70"/>
              <w:left w:type="dxa" w:w="110"/>
              <w:bottom w:type="dxa" w:w="70"/>
              <w:right w:type="dxa" w:w="110"/>
            </w:tcMar>
          </w:tcPr>
          <w:p>
            <w:pPr>
              <w:jc w:val="center"/>
            </w:pPr>
            <w:r>
              <w:rPr>
                <w:rFonts w:ascii="Arial" w:cs="Arial" w:eastAsia="Arial" w:hAnsi="Arial"/>
                <w:b w:val="false"/>
                <w:bCs w:val="false"/>
                <w:sz w:val="19"/>
                <w:szCs w:val="19"/>
              </w:rPr>
              <w:t xml:space="preserve">✓</w:t>
            </w:r>
          </w:p>
        </w:tc>
        <w:tc>
          <w:tcPr>
            <w:tcW w:type="dxa" w:w="1150"/>
            <w:tcBorders>
              <w:top w:val="single" w:color="C9C7BE" w:sz="4"/>
              <w:left w:val="single" w:color="C9C7BE" w:sz="4"/>
              <w:bottom w:val="single" w:color="C9C7BE" w:sz="4"/>
              <w:right w:val="single" w:color="C9C7BE" w:sz="4"/>
            </w:tcBorders>
            <w:shd w:fill="FAFAF7" w:color="auto" w:val="clear"/>
            <w:tcMar>
              <w:top w:type="dxa" w:w="70"/>
              <w:left w:type="dxa" w:w="110"/>
              <w:bottom w:type="dxa" w:w="70"/>
              <w:right w:type="dxa" w:w="110"/>
            </w:tcMar>
          </w:tcPr>
          <w:p>
            <w:pPr>
              <w:jc w:val="center"/>
            </w:pPr>
          </w:p>
        </w:tc>
        <w:tc>
          <w:tcPr>
            <w:tcW w:type="dxa" w:w="1100"/>
            <w:tcBorders>
              <w:top w:val="single" w:color="C9C7BE" w:sz="4"/>
              <w:left w:val="single" w:color="C9C7BE" w:sz="4"/>
              <w:bottom w:val="single" w:color="C9C7BE" w:sz="4"/>
              <w:right w:val="single" w:color="C9C7BE" w:sz="4"/>
            </w:tcBorders>
            <w:shd w:fill="FAFAF7" w:color="auto" w:val="clear"/>
            <w:tcMar>
              <w:top w:type="dxa" w:w="70"/>
              <w:left w:type="dxa" w:w="110"/>
              <w:bottom w:type="dxa" w:w="70"/>
              <w:right w:type="dxa" w:w="110"/>
            </w:tcMar>
          </w:tcPr>
          <w:p>
            <w:pPr>
              <w:jc w:val="center"/>
            </w:pPr>
          </w:p>
        </w:tc>
      </w:tr>
      <w:tr>
        <w:trPr>
          <w:cantSplit/>
        </w:trPr>
        <w:tc>
          <w:tcPr>
            <w:tcW w:type="dxa" w:w="2638"/>
            <w:tcBorders>
              <w:top w:val="single" w:color="C9C7BE" w:sz="4"/>
              <w:left w:val="single" w:color="C9C7BE" w:sz="4"/>
              <w:bottom w:val="single" w:color="C9C7BE" w:sz="4"/>
              <w:right w:val="single" w:color="C9C7BE" w:sz="4"/>
            </w:tcBorders>
            <w:shd w:fill="EEF3F8" w:color="auto" w:val="clear"/>
            <w:tcMar>
              <w:top w:type="dxa" w:w="70"/>
              <w:left w:type="dxa" w:w="110"/>
              <w:bottom w:type="dxa" w:w="70"/>
              <w:right w:type="dxa" w:w="110"/>
            </w:tcMar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NPS</w:t>
            </w:r>
          </w:p>
        </w:tc>
        <w:tc>
          <w:tcPr>
            <w:tcW w:type="dxa" w:w="1150"/>
            <w:tcBorders>
              <w:top w:val="single" w:color="C9C7BE" w:sz="4"/>
              <w:left w:val="single" w:color="C9C7BE" w:sz="4"/>
              <w:bottom w:val="single" w:color="C9C7BE" w:sz="4"/>
              <w:right w:val="single" w:color="C9C7BE" w:sz="4"/>
            </w:tcBorders>
            <w:shd w:fill="FFFFFF" w:color="auto" w:val="clear"/>
            <w:tcMar>
              <w:top w:type="dxa" w:w="70"/>
              <w:left w:type="dxa" w:w="110"/>
              <w:bottom w:type="dxa" w:w="70"/>
              <w:right w:type="dxa" w:w="110"/>
            </w:tcMar>
          </w:tcPr>
          <w:p>
            <w:pPr>
              <w:jc w:val="center"/>
            </w:pPr>
            <w:r>
              <w:rPr>
                <w:rFonts w:ascii="Arial" w:cs="Arial" w:eastAsia="Arial" w:hAnsi="Arial"/>
                <w:b w:val="false"/>
                <w:bCs w:val="false"/>
                <w:sz w:val="19"/>
                <w:szCs w:val="19"/>
              </w:rPr>
              <w:t xml:space="preserve">✓</w:t>
            </w:r>
          </w:p>
        </w:tc>
        <w:tc>
          <w:tcPr>
            <w:tcW w:type="dxa" w:w="1250"/>
            <w:tcBorders>
              <w:top w:val="single" w:color="C9C7BE" w:sz="4"/>
              <w:left w:val="single" w:color="C9C7BE" w:sz="4"/>
              <w:bottom w:val="single" w:color="C9C7BE" w:sz="4"/>
              <w:right w:val="single" w:color="C9C7BE" w:sz="4"/>
            </w:tcBorders>
            <w:shd w:fill="FFFFFF" w:color="auto" w:val="clear"/>
            <w:tcMar>
              <w:top w:type="dxa" w:w="70"/>
              <w:left w:type="dxa" w:w="110"/>
              <w:bottom w:type="dxa" w:w="70"/>
              <w:right w:type="dxa" w:w="110"/>
            </w:tcMar>
          </w:tcPr>
          <w:p>
            <w:pPr>
              <w:jc w:val="center"/>
            </w:pPr>
            <w:r>
              <w:rPr>
                <w:rFonts w:ascii="Arial" w:cs="Arial" w:eastAsia="Arial" w:hAnsi="Arial"/>
                <w:b w:val="false"/>
                <w:bCs w:val="false"/>
                <w:sz w:val="19"/>
                <w:szCs w:val="19"/>
              </w:rPr>
              <w:t xml:space="preserve">✓</w:t>
            </w:r>
          </w:p>
        </w:tc>
        <w:tc>
          <w:tcPr>
            <w:tcW w:type="dxa" w:w="1300"/>
            <w:tcBorders>
              <w:top w:val="single" w:color="C9C7BE" w:sz="4"/>
              <w:left w:val="single" w:color="C9C7BE" w:sz="4"/>
              <w:bottom w:val="single" w:color="C9C7BE" w:sz="4"/>
              <w:right w:val="single" w:color="C9C7BE" w:sz="4"/>
            </w:tcBorders>
            <w:shd w:fill="FFFFFF" w:color="auto" w:val="clear"/>
            <w:tcMar>
              <w:top w:type="dxa" w:w="70"/>
              <w:left w:type="dxa" w:w="110"/>
              <w:bottom w:type="dxa" w:w="70"/>
              <w:right w:type="dxa" w:w="110"/>
            </w:tcMar>
          </w:tcPr>
          <w:p>
            <w:pPr>
              <w:jc w:val="center"/>
            </w:pPr>
            <w:r>
              <w:rPr>
                <w:rFonts w:ascii="Arial" w:cs="Arial" w:eastAsia="Arial" w:hAnsi="Arial"/>
                <w:b w:val="false"/>
                <w:bCs w:val="false"/>
                <w:sz w:val="19"/>
                <w:szCs w:val="19"/>
              </w:rPr>
              <w:t xml:space="preserve">✓</w:t>
            </w:r>
          </w:p>
        </w:tc>
        <w:tc>
          <w:tcPr>
            <w:tcW w:type="dxa" w:w="1050"/>
            <w:tcBorders>
              <w:top w:val="single" w:color="C9C7BE" w:sz="4"/>
              <w:left w:val="single" w:color="C9C7BE" w:sz="4"/>
              <w:bottom w:val="single" w:color="C9C7BE" w:sz="4"/>
              <w:right w:val="single" w:color="C9C7BE" w:sz="4"/>
            </w:tcBorders>
            <w:shd w:fill="FFFFFF" w:color="auto" w:val="clear"/>
            <w:tcMar>
              <w:top w:type="dxa" w:w="70"/>
              <w:left w:type="dxa" w:w="110"/>
              <w:bottom w:type="dxa" w:w="70"/>
              <w:right w:type="dxa" w:w="110"/>
            </w:tcMar>
          </w:tcPr>
          <w:p>
            <w:pPr>
              <w:jc w:val="center"/>
            </w:pPr>
          </w:p>
        </w:tc>
        <w:tc>
          <w:tcPr>
            <w:tcW w:type="dxa" w:w="1150"/>
            <w:tcBorders>
              <w:top w:val="single" w:color="C9C7BE" w:sz="4"/>
              <w:left w:val="single" w:color="C9C7BE" w:sz="4"/>
              <w:bottom w:val="single" w:color="C9C7BE" w:sz="4"/>
              <w:right w:val="single" w:color="C9C7BE" w:sz="4"/>
            </w:tcBorders>
            <w:shd w:fill="FFFFFF" w:color="auto" w:val="clear"/>
            <w:tcMar>
              <w:top w:type="dxa" w:w="70"/>
              <w:left w:type="dxa" w:w="110"/>
              <w:bottom w:type="dxa" w:w="70"/>
              <w:right w:type="dxa" w:w="110"/>
            </w:tcMar>
          </w:tcPr>
          <w:p>
            <w:pPr>
              <w:jc w:val="center"/>
            </w:pPr>
          </w:p>
        </w:tc>
        <w:tc>
          <w:tcPr>
            <w:tcW w:type="dxa" w:w="1100"/>
            <w:tcBorders>
              <w:top w:val="single" w:color="C9C7BE" w:sz="4"/>
              <w:left w:val="single" w:color="C9C7BE" w:sz="4"/>
              <w:bottom w:val="single" w:color="C9C7BE" w:sz="4"/>
              <w:right w:val="single" w:color="C9C7BE" w:sz="4"/>
            </w:tcBorders>
            <w:shd w:fill="FFFFFF" w:color="auto" w:val="clear"/>
            <w:tcMar>
              <w:top w:type="dxa" w:w="70"/>
              <w:left w:type="dxa" w:w="110"/>
              <w:bottom w:type="dxa" w:w="70"/>
              <w:right w:type="dxa" w:w="110"/>
            </w:tcMar>
          </w:tcPr>
          <w:p>
            <w:pPr>
              <w:jc w:val="center"/>
            </w:pPr>
            <w:r>
              <w:rPr>
                <w:rFonts w:ascii="Arial" w:cs="Arial" w:eastAsia="Arial" w:hAnsi="Arial"/>
                <w:b w:val="false"/>
                <w:bCs w:val="false"/>
                <w:sz w:val="19"/>
                <w:szCs w:val="19"/>
              </w:rPr>
              <w:t xml:space="preserve">✓</w:t>
            </w:r>
          </w:p>
        </w:tc>
      </w:tr>
      <w:tr>
        <w:trPr>
          <w:cantSplit/>
        </w:trPr>
        <w:tc>
          <w:tcPr>
            <w:tcW w:type="dxa" w:w="2638"/>
            <w:tcBorders>
              <w:top w:val="single" w:color="C9C7BE" w:sz="4"/>
              <w:left w:val="single" w:color="C9C7BE" w:sz="4"/>
              <w:bottom w:val="single" w:color="C9C7BE" w:sz="4"/>
              <w:right w:val="single" w:color="C9C7BE" w:sz="4"/>
            </w:tcBorders>
            <w:shd w:fill="EEF3F8" w:color="auto" w:val="clear"/>
            <w:tcMar>
              <w:top w:type="dxa" w:w="70"/>
              <w:left w:type="dxa" w:w="110"/>
              <w:bottom w:type="dxa" w:w="70"/>
              <w:right w:type="dxa" w:w="110"/>
            </w:tcMar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Messagerie</w:t>
            </w:r>
          </w:p>
        </w:tc>
        <w:tc>
          <w:tcPr>
            <w:tcW w:type="dxa" w:w="1150"/>
            <w:tcBorders>
              <w:top w:val="single" w:color="C9C7BE" w:sz="4"/>
              <w:left w:val="single" w:color="C9C7BE" w:sz="4"/>
              <w:bottom w:val="single" w:color="C9C7BE" w:sz="4"/>
              <w:right w:val="single" w:color="C9C7BE" w:sz="4"/>
            </w:tcBorders>
            <w:shd w:fill="FAFAF7" w:color="auto" w:val="clear"/>
            <w:tcMar>
              <w:top w:type="dxa" w:w="70"/>
              <w:left w:type="dxa" w:w="110"/>
              <w:bottom w:type="dxa" w:w="70"/>
              <w:right w:type="dxa" w:w="110"/>
            </w:tcMar>
          </w:tcPr>
          <w:p>
            <w:pPr>
              <w:jc w:val="center"/>
            </w:pPr>
          </w:p>
        </w:tc>
        <w:tc>
          <w:tcPr>
            <w:tcW w:type="dxa" w:w="1250"/>
            <w:tcBorders>
              <w:top w:val="single" w:color="C9C7BE" w:sz="4"/>
              <w:left w:val="single" w:color="C9C7BE" w:sz="4"/>
              <w:bottom w:val="single" w:color="C9C7BE" w:sz="4"/>
              <w:right w:val="single" w:color="C9C7BE" w:sz="4"/>
            </w:tcBorders>
            <w:shd w:fill="FAFAF7" w:color="auto" w:val="clear"/>
            <w:tcMar>
              <w:top w:type="dxa" w:w="70"/>
              <w:left w:type="dxa" w:w="110"/>
              <w:bottom w:type="dxa" w:w="70"/>
              <w:right w:type="dxa" w:w="110"/>
            </w:tcMar>
          </w:tcPr>
          <w:p>
            <w:pPr>
              <w:jc w:val="center"/>
            </w:pPr>
            <w:r>
              <w:rPr>
                <w:rFonts w:ascii="Arial" w:cs="Arial" w:eastAsia="Arial" w:hAnsi="Arial"/>
                <w:b w:val="false"/>
                <w:bCs w:val="false"/>
                <w:sz w:val="19"/>
                <w:szCs w:val="19"/>
              </w:rPr>
              <w:t xml:space="preserve">✓</w:t>
            </w:r>
          </w:p>
        </w:tc>
        <w:tc>
          <w:tcPr>
            <w:tcW w:type="dxa" w:w="1300"/>
            <w:tcBorders>
              <w:top w:val="single" w:color="C9C7BE" w:sz="4"/>
              <w:left w:val="single" w:color="C9C7BE" w:sz="4"/>
              <w:bottom w:val="single" w:color="C9C7BE" w:sz="4"/>
              <w:right w:val="single" w:color="C9C7BE" w:sz="4"/>
            </w:tcBorders>
            <w:shd w:fill="FAFAF7" w:color="auto" w:val="clear"/>
            <w:tcMar>
              <w:top w:type="dxa" w:w="70"/>
              <w:left w:type="dxa" w:w="110"/>
              <w:bottom w:type="dxa" w:w="70"/>
              <w:right w:type="dxa" w:w="110"/>
            </w:tcMar>
          </w:tcPr>
          <w:p>
            <w:pPr>
              <w:jc w:val="center"/>
            </w:pPr>
          </w:p>
        </w:tc>
        <w:tc>
          <w:tcPr>
            <w:tcW w:type="dxa" w:w="1050"/>
            <w:tcBorders>
              <w:top w:val="single" w:color="C9C7BE" w:sz="4"/>
              <w:left w:val="single" w:color="C9C7BE" w:sz="4"/>
              <w:bottom w:val="single" w:color="C9C7BE" w:sz="4"/>
              <w:right w:val="single" w:color="C9C7BE" w:sz="4"/>
            </w:tcBorders>
            <w:shd w:fill="FAFAF7" w:color="auto" w:val="clear"/>
            <w:tcMar>
              <w:top w:type="dxa" w:w="70"/>
              <w:left w:type="dxa" w:w="110"/>
              <w:bottom w:type="dxa" w:w="70"/>
              <w:right w:type="dxa" w:w="110"/>
            </w:tcMar>
          </w:tcPr>
          <w:p>
            <w:pPr>
              <w:jc w:val="center"/>
            </w:pPr>
          </w:p>
        </w:tc>
        <w:tc>
          <w:tcPr>
            <w:tcW w:type="dxa" w:w="1150"/>
            <w:tcBorders>
              <w:top w:val="single" w:color="C9C7BE" w:sz="4"/>
              <w:left w:val="single" w:color="C9C7BE" w:sz="4"/>
              <w:bottom w:val="single" w:color="C9C7BE" w:sz="4"/>
              <w:right w:val="single" w:color="C9C7BE" w:sz="4"/>
            </w:tcBorders>
            <w:shd w:fill="FAFAF7" w:color="auto" w:val="clear"/>
            <w:tcMar>
              <w:top w:type="dxa" w:w="70"/>
              <w:left w:type="dxa" w:w="110"/>
              <w:bottom w:type="dxa" w:w="70"/>
              <w:right w:type="dxa" w:w="110"/>
            </w:tcMar>
          </w:tcPr>
          <w:p>
            <w:pPr>
              <w:jc w:val="center"/>
            </w:pPr>
          </w:p>
        </w:tc>
        <w:tc>
          <w:tcPr>
            <w:tcW w:type="dxa" w:w="1100"/>
            <w:tcBorders>
              <w:top w:val="single" w:color="C9C7BE" w:sz="4"/>
              <w:left w:val="single" w:color="C9C7BE" w:sz="4"/>
              <w:bottom w:val="single" w:color="C9C7BE" w:sz="4"/>
              <w:right w:val="single" w:color="C9C7BE" w:sz="4"/>
            </w:tcBorders>
            <w:shd w:fill="FAFAF7" w:color="auto" w:val="clear"/>
            <w:tcMar>
              <w:top w:type="dxa" w:w="70"/>
              <w:left w:type="dxa" w:w="110"/>
              <w:bottom w:type="dxa" w:w="70"/>
              <w:right w:type="dxa" w:w="110"/>
            </w:tcMar>
          </w:tcPr>
          <w:p>
            <w:pPr>
              <w:jc w:val="center"/>
            </w:pPr>
            <w:r>
              <w:rPr>
                <w:rFonts w:ascii="Arial" w:cs="Arial" w:eastAsia="Arial" w:hAnsi="Arial"/>
                <w:b w:val="false"/>
                <w:bCs w:val="false"/>
                <w:sz w:val="19"/>
                <w:szCs w:val="19"/>
              </w:rPr>
              <w:t xml:space="preserve">✓</w:t>
            </w:r>
          </w:p>
        </w:tc>
      </w:tr>
      <w:tr>
        <w:trPr>
          <w:cantSplit/>
        </w:trPr>
        <w:tc>
          <w:tcPr>
            <w:tcW w:type="dxa" w:w="2638"/>
            <w:tcBorders>
              <w:top w:val="single" w:color="C9C7BE" w:sz="4"/>
              <w:left w:val="single" w:color="C9C7BE" w:sz="4"/>
              <w:bottom w:val="single" w:color="C9C7BE" w:sz="4"/>
              <w:right w:val="single" w:color="C9C7BE" w:sz="4"/>
            </w:tcBorders>
            <w:shd w:fill="EEF3F8" w:color="auto" w:val="clear"/>
            <w:tcMar>
              <w:top w:type="dxa" w:w="70"/>
              <w:left w:type="dxa" w:w="110"/>
              <w:bottom w:type="dxa" w:w="70"/>
              <w:right w:type="dxa" w:w="110"/>
            </w:tcMar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Formulaires</w:t>
            </w:r>
          </w:p>
        </w:tc>
        <w:tc>
          <w:tcPr>
            <w:tcW w:type="dxa" w:w="1150"/>
            <w:tcBorders>
              <w:top w:val="single" w:color="C9C7BE" w:sz="4"/>
              <w:left w:val="single" w:color="C9C7BE" w:sz="4"/>
              <w:bottom w:val="single" w:color="C9C7BE" w:sz="4"/>
              <w:right w:val="single" w:color="C9C7BE" w:sz="4"/>
            </w:tcBorders>
            <w:shd w:fill="FFFFFF" w:color="auto" w:val="clear"/>
            <w:tcMar>
              <w:top w:type="dxa" w:w="70"/>
              <w:left w:type="dxa" w:w="110"/>
              <w:bottom w:type="dxa" w:w="70"/>
              <w:right w:type="dxa" w:w="110"/>
            </w:tcMar>
          </w:tcPr>
          <w:p>
            <w:pPr>
              <w:jc w:val="center"/>
            </w:pPr>
          </w:p>
        </w:tc>
        <w:tc>
          <w:tcPr>
            <w:tcW w:type="dxa" w:w="1250"/>
            <w:tcBorders>
              <w:top w:val="single" w:color="C9C7BE" w:sz="4"/>
              <w:left w:val="single" w:color="C9C7BE" w:sz="4"/>
              <w:bottom w:val="single" w:color="C9C7BE" w:sz="4"/>
              <w:right w:val="single" w:color="C9C7BE" w:sz="4"/>
            </w:tcBorders>
            <w:shd w:fill="FFFFFF" w:color="auto" w:val="clear"/>
            <w:tcMar>
              <w:top w:type="dxa" w:w="70"/>
              <w:left w:type="dxa" w:w="110"/>
              <w:bottom w:type="dxa" w:w="70"/>
              <w:right w:type="dxa" w:w="110"/>
            </w:tcMar>
          </w:tcPr>
          <w:p>
            <w:pPr>
              <w:jc w:val="center"/>
            </w:pPr>
          </w:p>
        </w:tc>
        <w:tc>
          <w:tcPr>
            <w:tcW w:type="dxa" w:w="1300"/>
            <w:tcBorders>
              <w:top w:val="single" w:color="C9C7BE" w:sz="4"/>
              <w:left w:val="single" w:color="C9C7BE" w:sz="4"/>
              <w:bottom w:val="single" w:color="C9C7BE" w:sz="4"/>
              <w:right w:val="single" w:color="C9C7BE" w:sz="4"/>
            </w:tcBorders>
            <w:shd w:fill="FFFFFF" w:color="auto" w:val="clear"/>
            <w:tcMar>
              <w:top w:type="dxa" w:w="70"/>
              <w:left w:type="dxa" w:w="110"/>
              <w:bottom w:type="dxa" w:w="70"/>
              <w:right w:type="dxa" w:w="110"/>
            </w:tcMar>
          </w:tcPr>
          <w:p>
            <w:pPr>
              <w:jc w:val="center"/>
            </w:pPr>
            <w:r>
              <w:rPr>
                <w:rFonts w:ascii="Arial" w:cs="Arial" w:eastAsia="Arial" w:hAnsi="Arial"/>
                <w:b w:val="false"/>
                <w:bCs w:val="false"/>
                <w:sz w:val="19"/>
                <w:szCs w:val="19"/>
              </w:rPr>
              <w:t xml:space="preserve">✓</w:t>
            </w:r>
          </w:p>
        </w:tc>
        <w:tc>
          <w:tcPr>
            <w:tcW w:type="dxa" w:w="1050"/>
            <w:tcBorders>
              <w:top w:val="single" w:color="C9C7BE" w:sz="4"/>
              <w:left w:val="single" w:color="C9C7BE" w:sz="4"/>
              <w:bottom w:val="single" w:color="C9C7BE" w:sz="4"/>
              <w:right w:val="single" w:color="C9C7BE" w:sz="4"/>
            </w:tcBorders>
            <w:shd w:fill="FFFFFF" w:color="auto" w:val="clear"/>
            <w:tcMar>
              <w:top w:type="dxa" w:w="70"/>
              <w:left w:type="dxa" w:w="110"/>
              <w:bottom w:type="dxa" w:w="70"/>
              <w:right w:type="dxa" w:w="110"/>
            </w:tcMar>
          </w:tcPr>
          <w:p>
            <w:pPr>
              <w:jc w:val="center"/>
            </w:pPr>
          </w:p>
        </w:tc>
        <w:tc>
          <w:tcPr>
            <w:tcW w:type="dxa" w:w="1150"/>
            <w:tcBorders>
              <w:top w:val="single" w:color="C9C7BE" w:sz="4"/>
              <w:left w:val="single" w:color="C9C7BE" w:sz="4"/>
              <w:bottom w:val="single" w:color="C9C7BE" w:sz="4"/>
              <w:right w:val="single" w:color="C9C7BE" w:sz="4"/>
            </w:tcBorders>
            <w:shd w:fill="FFFFFF" w:color="auto" w:val="clear"/>
            <w:tcMar>
              <w:top w:type="dxa" w:w="70"/>
              <w:left w:type="dxa" w:w="110"/>
              <w:bottom w:type="dxa" w:w="70"/>
              <w:right w:type="dxa" w:w="110"/>
            </w:tcMar>
          </w:tcPr>
          <w:p>
            <w:pPr>
              <w:jc w:val="center"/>
            </w:pPr>
          </w:p>
        </w:tc>
        <w:tc>
          <w:tcPr>
            <w:tcW w:type="dxa" w:w="1100"/>
            <w:tcBorders>
              <w:top w:val="single" w:color="C9C7BE" w:sz="4"/>
              <w:left w:val="single" w:color="C9C7BE" w:sz="4"/>
              <w:bottom w:val="single" w:color="C9C7BE" w:sz="4"/>
              <w:right w:val="single" w:color="C9C7BE" w:sz="4"/>
            </w:tcBorders>
            <w:shd w:fill="FFFFFF" w:color="auto" w:val="clear"/>
            <w:tcMar>
              <w:top w:type="dxa" w:w="70"/>
              <w:left w:type="dxa" w:w="110"/>
              <w:bottom w:type="dxa" w:w="70"/>
              <w:right w:type="dxa" w:w="110"/>
            </w:tcMar>
          </w:tcPr>
          <w:p>
            <w:pPr>
              <w:jc w:val="center"/>
            </w:pPr>
            <w:r>
              <w:rPr>
                <w:rFonts w:ascii="Arial" w:cs="Arial" w:eastAsia="Arial" w:hAnsi="Arial"/>
                <w:b w:val="false"/>
                <w:bCs w:val="false"/>
                <w:sz w:val="19"/>
                <w:szCs w:val="19"/>
              </w:rPr>
              <w:t xml:space="preserve">✓</w:t>
            </w:r>
          </w:p>
        </w:tc>
      </w:tr>
    </w:tbl>
    <w:p>
      <w:pPr>
        <w:pStyle w:val="Heading1"/>
        <w:pageBreakBefore/>
      </w:pPr>
      <w:r>
        <w:t xml:space="preserve">3. Découper sans coller</w:t>
      </w:r>
    </w:p>
    <w:p>
      <w:pPr>
        <w:spacing w:after="120" w:line="300"/>
      </w:pPr>
      <w:r>
        <w:rPr>
          <w:rFonts w:ascii="Arial" w:cs="Arial" w:eastAsia="Arial" w:hAnsi="Arial"/>
        </w:rPr>
        <w:t xml:space="preserve">Chaque module devient un </w:t>
      </w:r>
      <w:r>
        <w:rPr>
          <w:rFonts w:ascii="Arial" w:cs="Arial" w:eastAsia="Arial" w:hAnsi="Arial"/>
          <w:b/>
          <w:bCs/>
        </w:rPr>
        <w:t xml:space="preserve">package</w:t>
      </w:r>
      <w:r>
        <w:rPr>
          <w:rFonts w:ascii="Arial" w:cs="Arial" w:eastAsia="Arial" w:hAnsi="Arial"/>
        </w:rPr>
        <w:t xml:space="preserve"> (dossier autonome dans la même application), et chaque import interdit est remplacé par l'un de ces trois mécanismes :</w:t>
      </w:r>
    </w:p>
    <w:p>
      <w:pPr>
        <w:spacing w:after="200" w:before="120"/>
        <w:jc w:val="center"/>
      </w:pPr>
      <w:r>
        <w:drawing>
          <wp:inline distT="0" distB="0" distL="0" distR="0">
            <wp:extent cx="5905500" cy="2657475"/>
            <wp:effectExtent t="0" r="0" b="0" l="0"/>
            <wp:docPr id="1" name="d7_communication" descr="d7_communication" title="d7_communication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" descr=""/>
                    <pic:cNvPicPr>
                      <a:picLocks noChangeAspect="1" noChangeArrowheads="1"/>
                    </pic:cNvPicPr>
                  </pic:nvPicPr>
                  <pic:blipFill>
                    <a:blip r:embed="rId11" cstate="none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905500" cy="265747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>
      <w:pPr>
        <w:pStyle w:val="Heading2"/>
      </w:pPr>
      <w:r>
        <w:t xml:space="preserve">4. Installer une application</w:t>
      </w:r>
    </w:p>
    <w:p>
      <w:pPr>
        <w:spacing w:after="120" w:line="300"/>
      </w:pPr>
      <w:r>
        <w:rPr>
          <w:rFonts w:ascii="Arial" w:cs="Arial" w:eastAsia="Arial" w:hAnsi="Arial"/>
        </w:rPr>
        <w:t xml:space="preserve">On ne migre </w:t>
      </w:r>
      <w:r>
        <w:rPr>
          <w:rFonts w:ascii="Arial" w:cs="Arial" w:eastAsia="Arial" w:hAnsi="Arial"/>
          <w:b/>
          <w:bCs/>
        </w:rPr>
        <w:t xml:space="preserve">que les tables de l'app installée</w:t>
      </w:r>
      <w:r>
        <w:rPr>
          <w:rFonts w:ascii="Arial" w:cs="Arial" w:eastAsia="Arial" w:hAnsi="Arial"/>
        </w:rPr>
        <w:t xml:space="preserve">, plus celles de ses dépendances si le client ne les a pas encore. Les autres apps n'ont aucune table chez ce client.</w:t>
      </w:r>
    </w:p>
    <w:p>
      <w:pPr>
        <w:spacing w:after="200" w:before="120"/>
        <w:jc w:val="center"/>
      </w:pPr>
      <w:r>
        <w:drawing>
          <wp:inline distT="0" distB="0" distL="0" distR="0">
            <wp:extent cx="5715000" cy="1371600"/>
            <wp:effectExtent t="0" r="0" b="0" l="0"/>
            <wp:docPr id="1" name="d8_install_simple" descr="d8_install_simple" title="d8_install_simple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" descr=""/>
                    <pic:cNvPicPr>
                      <a:picLocks noChangeAspect="1" noChangeArrowheads="1"/>
                    </pic:cNvPicPr>
                  </pic:nvPicPr>
                  <pic:blipFill>
                    <a:blip r:embed="rId12" cstate="none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715000" cy="13716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>
      <w:pPr>
        <w:spacing w:after="200" w:before="120"/>
        <w:jc w:val="center"/>
      </w:pPr>
      <w:r>
        <w:drawing>
          <wp:inline distT="0" distB="0" distL="0" distR="0">
            <wp:extent cx="5334000" cy="1276350"/>
            <wp:effectExtent t="0" r="0" b="0" l="0"/>
            <wp:docPr id="1" name="d14_base_client" descr="d14_base_client" title="d14_base_client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" descr=""/>
                    <pic:cNvPicPr>
                      <a:picLocks noChangeAspect="1" noChangeArrowheads="1"/>
                    </pic:cNvPicPr>
                  </pic:nvPicPr>
                  <pic:blipFill>
                    <a:blip r:embed="rId13" cstate="none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127635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>
      <w:pPr>
        <w:pStyle w:val="Heading1"/>
        <w:pageBreakBefore/>
      </w:pPr>
      <w:r>
        <w:t xml:space="preserve">5. L'installateur, étape par étape</w:t>
      </w:r>
    </w:p>
    <w:p>
      <w:pPr>
        <w:spacing w:after="200" w:before="120"/>
        <w:jc w:val="center"/>
      </w:pPr>
      <w:r>
        <w:drawing>
          <wp:inline distT="0" distB="0" distL="0" distR="0">
            <wp:extent cx="5905500" cy="4191000"/>
            <wp:effectExtent t="0" r="0" b="0" l="0"/>
            <wp:docPr id="1" name="d9_installateur" descr="d9_installateur" title="d9_installateur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" descr=""/>
                    <pic:cNvPicPr>
                      <a:picLocks noChangeAspect="1" noChangeArrowheads="1"/>
                    </pic:cNvPicPr>
                  </pic:nvPicPr>
                  <pic:blipFill>
                    <a:blip r:embed="rId14" cstate="none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905500" cy="41910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>
      <w:pPr>
        <w:pBdr>
          <w:left w:val="single" w:color="0F6E56" w:sz="18" w:space="8"/>
        </w:pBdr>
        <w:shd w:fill="E8F5EF" w:color="auto" w:val="clear"/>
        <w:spacing w:after="0" w:before="120"/>
        <w:ind w:left="160" w:right="160"/>
      </w:pPr>
      <w:r>
        <w:rPr>
          <w:rFonts w:ascii="Arial" w:cs="Arial" w:eastAsia="Arial" w:hAnsi="Arial"/>
          <w:b/>
          <w:bCs/>
          <w:color w:val="0F6E56"/>
          <w:sz w:val="21"/>
          <w:szCs w:val="21"/>
        </w:rPr>
        <w:t xml:space="preserve">Initialisation des données (étape 4)</w:t>
      </w:r>
    </w:p>
    <w:p>
      <w:pPr>
        <w:pBdr>
          <w:left w:val="single" w:color="0F6E56" w:sz="18" w:space="8"/>
        </w:pBdr>
        <w:shd w:fill="E8F5EF" w:color="auto" w:val="clear"/>
        <w:spacing w:after="0" w:before="0" w:line="290"/>
        <w:ind w:left="160" w:right="160"/>
      </w:pPr>
      <w:r>
        <w:rPr>
          <w:rFonts w:ascii="Arial" w:cs="Arial" w:eastAsia="Arial" w:hAnsi="Arial"/>
          <w:sz w:val="21"/>
          <w:szCs w:val="21"/>
        </w:rPr>
        <w:t xml:space="preserve">Dans la base du client, pour chaque package dans l'ordre des dépendances : </w:t>
      </w:r>
      <w:r>
        <w:rPr>
          <w:rFonts w:ascii="Arial" w:cs="Arial" w:eastAsia="Arial" w:hAnsi="Arial"/>
          <w:b/>
          <w:bCs/>
          <w:sz w:val="21"/>
          <w:szCs w:val="21"/>
        </w:rPr>
        <w:t xml:space="preserve">migrations du package (étape 3), puis permissions → rôles → seeders → hook install()</w:t>
      </w:r>
      <w:r>
        <w:rPr>
          <w:rFonts w:ascii="Arial" w:cs="Arial" w:eastAsia="Arial" w:hAnsi="Arial"/>
          <w:sz w:val="21"/>
          <w:szCs w:val="21"/>
        </w:rPr>
        <w:t xml:space="preserve"> (entrepôt par défaut, étapes de pipeline, numérotation des factures).</w:t>
      </w:r>
    </w:p>
    <w:p>
      <w:pPr>
        <w:pBdr>
          <w:left w:val="single" w:color="0F6E56" w:sz="18" w:space="8"/>
        </w:pBdr>
        <w:shd w:fill="E8F5EF" w:color="auto" w:val="clear"/>
        <w:spacing w:after="200" w:before="0" w:line="290"/>
        <w:ind w:left="160" w:right="160"/>
      </w:pPr>
      <w:r>
        <w:rPr>
          <w:rFonts w:ascii="Arial" w:cs="Arial" w:eastAsia="Arial" w:hAnsi="Arial"/>
          <w:sz w:val="21"/>
          <w:szCs w:val="21"/>
        </w:rPr>
        <w:t xml:space="preserve">Tout est rejouable sans doublon. L'app n'est marquée </w:t>
      </w:r>
      <w:r>
        <w:rPr>
          <w:rFonts w:ascii="Arial" w:cs="Arial" w:eastAsia="Arial" w:hAnsi="Arial"/>
          <w:b/>
          <w:bCs/>
          <w:sz w:val="21"/>
          <w:szCs w:val="21"/>
        </w:rPr>
        <w:t xml:space="preserve">active</w:t>
      </w:r>
      <w:r>
        <w:rPr>
          <w:rFonts w:ascii="Arial" w:cs="Arial" w:eastAsia="Arial" w:hAnsi="Arial"/>
          <w:sz w:val="21"/>
          <w:szCs w:val="21"/>
        </w:rPr>
        <w:t xml:space="preserve"> dans la base centrale qu'</w:t>
      </w:r>
      <w:r>
        <w:rPr>
          <w:rFonts w:ascii="Arial" w:cs="Arial" w:eastAsia="Arial" w:hAnsi="Arial"/>
          <w:b/>
          <w:bCs/>
          <w:sz w:val="21"/>
          <w:szCs w:val="21"/>
        </w:rPr>
        <w:t xml:space="preserve">après</w:t>
      </w:r>
      <w:r>
        <w:rPr>
          <w:rFonts w:ascii="Arial" w:cs="Arial" w:eastAsia="Arial" w:hAnsi="Arial"/>
          <w:sz w:val="21"/>
          <w:szCs w:val="21"/>
        </w:rPr>
        <w:t xml:space="preserve"> (étape 5).</w:t>
      </w:r>
    </w:p>
    <w:p>
      <w:pPr>
        <w:pBdr>
          <w:left w:val="single" w:color="BA7517" w:sz="18" w:space="8"/>
        </w:pBdr>
        <w:shd w:fill="FAEEDA" w:color="auto" w:val="clear"/>
        <w:spacing w:after="0" w:before="120"/>
        <w:ind w:left="160" w:right="160"/>
      </w:pPr>
      <w:r>
        <w:rPr>
          <w:rFonts w:ascii="Arial" w:cs="Arial" w:eastAsia="Arial" w:hAnsi="Arial"/>
          <w:b/>
          <w:bCs/>
          <w:color w:val="BA7517"/>
          <w:sz w:val="21"/>
          <w:szCs w:val="21"/>
        </w:rPr>
        <w:t xml:space="preserve">Règles liées aux migrations par app</w:t>
      </w:r>
    </w:p>
    <w:p>
      <w:pPr>
        <w:pBdr>
          <w:left w:val="single" w:color="BA7517" w:sz="18" w:space="8"/>
        </w:pBdr>
        <w:shd w:fill="FAEEDA" w:color="auto" w:val="clear"/>
        <w:spacing w:after="0" w:before="0" w:line="290"/>
        <w:ind w:left="160" w:right="160"/>
      </w:pPr>
      <w:r>
        <w:rPr>
          <w:rFonts w:ascii="Arial" w:cs="Arial" w:eastAsia="Arial" w:hAnsi="Arial"/>
          <w:sz w:val="21"/>
          <w:szCs w:val="21"/>
        </w:rPr>
        <w:t xml:space="preserve">Chaque package garde ses migrations dans son propre dossier et son propre suivi.</w:t>
      </w:r>
    </w:p>
    <w:p>
      <w:pPr>
        <w:pBdr>
          <w:left w:val="single" w:color="BA7517" w:sz="18" w:space="8"/>
        </w:pBdr>
        <w:shd w:fill="FAEEDA" w:color="auto" w:val="clear"/>
        <w:spacing w:after="0" w:before="0" w:line="290"/>
        <w:ind w:left="160" w:right="160"/>
      </w:pPr>
      <w:r>
        <w:rPr>
          <w:rFonts w:ascii="Arial" w:cs="Arial" w:eastAsia="Arial" w:hAnsi="Arial"/>
          <w:b/>
          <w:bCs/>
          <w:sz w:val="21"/>
          <w:szCs w:val="21"/>
        </w:rPr>
        <w:t xml:space="preserve">Mise à jour</w:t>
      </w:r>
      <w:r>
        <w:rPr>
          <w:rFonts w:ascii="Arial" w:cs="Arial" w:eastAsia="Arial" w:hAnsi="Arial"/>
          <w:sz w:val="21"/>
          <w:szCs w:val="21"/>
        </w:rPr>
        <w:t xml:space="preserve"> : une commande </w:t>
      </w:r>
      <w:r>
        <w:rPr>
          <w:rFonts w:ascii="Consolas" w:cs="Consolas" w:eastAsia="Consolas" w:hAnsi="Consolas"/>
          <w:color w:val="8B2E1F"/>
          <w:sz w:val="19"/>
          <w:szCs w:val="19"/>
        </w:rPr>
        <w:t xml:space="preserve">byplus:migrate</w:t>
      </w:r>
      <w:r>
        <w:rPr>
          <w:rFonts w:ascii="Arial" w:cs="Arial" w:eastAsia="Arial" w:hAnsi="Arial"/>
          <w:sz w:val="21"/>
          <w:szCs w:val="21"/>
        </w:rPr>
        <w:t xml:space="preserve"> migre, client par client, seulement les packages qu'il a installés (remplace </w:t>
      </w:r>
      <w:r>
        <w:rPr>
          <w:rFonts w:ascii="Consolas" w:cs="Consolas" w:eastAsia="Consolas" w:hAnsi="Consolas"/>
          <w:color w:val="8B2E1F"/>
          <w:sz w:val="19"/>
          <w:szCs w:val="19"/>
        </w:rPr>
        <w:t xml:space="preserve">tenants:migrate</w:t>
      </w:r>
      <w:r>
        <w:rPr>
          <w:rFonts w:ascii="Arial" w:cs="Arial" w:eastAsia="Arial" w:hAnsi="Arial"/>
          <w:sz w:val="21"/>
          <w:szCs w:val="21"/>
        </w:rPr>
        <w:t xml:space="preserve"> global).</w:t>
      </w:r>
    </w:p>
    <w:p>
      <w:pPr>
        <w:pBdr>
          <w:left w:val="single" w:color="BA7517" w:sz="18" w:space="8"/>
        </w:pBdr>
        <w:shd w:fill="FAEEDA" w:color="auto" w:val="clear"/>
        <w:spacing w:after="0" w:before="0" w:line="290"/>
        <w:ind w:left="160" w:right="160"/>
      </w:pPr>
      <w:r>
        <w:rPr>
          <w:rFonts w:ascii="Arial" w:cs="Arial" w:eastAsia="Arial" w:hAnsi="Arial"/>
          <w:b/>
          <w:bCs/>
          <w:sz w:val="21"/>
          <w:szCs w:val="21"/>
        </w:rPr>
        <w:t xml:space="preserve">Clés étrangères</w:t>
      </w:r>
      <w:r>
        <w:rPr>
          <w:rFonts w:ascii="Arial" w:cs="Arial" w:eastAsia="Arial" w:hAnsi="Arial"/>
          <w:sz w:val="21"/>
          <w:szCs w:val="21"/>
        </w:rPr>
        <w:t xml:space="preserve"> : uniquement vers les tables d'un package listé dans </w:t>
      </w:r>
      <w:r>
        <w:rPr>
          <w:rFonts w:ascii="Consolas" w:cs="Consolas" w:eastAsia="Consolas" w:hAnsi="Consolas"/>
          <w:color w:val="8B2E1F"/>
          <w:sz w:val="19"/>
          <w:szCs w:val="19"/>
        </w:rPr>
        <w:t xml:space="preserve">requires</w:t>
      </w:r>
      <w:r>
        <w:rPr>
          <w:rFonts w:ascii="Arial" w:cs="Arial" w:eastAsia="Arial" w:hAnsi="Arial"/>
          <w:sz w:val="21"/>
          <w:szCs w:val="21"/>
        </w:rPr>
        <w:t xml:space="preserve">.</w:t>
      </w:r>
    </w:p>
    <w:p>
      <w:pPr>
        <w:pBdr>
          <w:left w:val="single" w:color="BA7517" w:sz="18" w:space="8"/>
        </w:pBdr>
        <w:shd w:fill="FAEEDA" w:color="auto" w:val="clear"/>
        <w:spacing w:after="200" w:before="0" w:line="290"/>
        <w:ind w:left="160" w:right="160"/>
      </w:pPr>
      <w:r>
        <w:rPr>
          <w:rFonts w:ascii="Arial" w:cs="Arial" w:eastAsia="Arial" w:hAnsi="Arial"/>
          <w:b/>
          <w:bCs/>
          <w:sz w:val="21"/>
          <w:szCs w:val="21"/>
        </w:rPr>
        <w:t xml:space="preserve">Nouveau client</w:t>
      </w:r>
      <w:r>
        <w:rPr>
          <w:rFonts w:ascii="Arial" w:cs="Arial" w:eastAsia="Arial" w:hAnsi="Arial"/>
          <w:sz w:val="21"/>
          <w:szCs w:val="21"/>
        </w:rPr>
        <w:t xml:space="preserve"> : seul le socle est migré, puis ses apps par défaut via l'installateur.</w:t>
      </w:r>
    </w:p>
    <w:p>
      <w:pPr>
        <w:pStyle w:val="Heading2"/>
        <w:pageBreakBefore/>
      </w:pPr>
      <w:r>
        <w:t xml:space="preserve">Lancer la migration de l'app : AppMigrator</w:t>
      </w:r>
    </w:p>
    <w:p>
      <w:pPr>
        <w:spacing w:after="120" w:line="300"/>
      </w:pPr>
      <w:r>
        <w:rPr>
          <w:rFonts w:ascii="Arial" w:cs="Arial" w:eastAsia="Arial" w:hAnsi="Arial"/>
        </w:rPr>
        <w:t xml:space="preserve">La migration tourne </w:t>
      </w:r>
      <w:r>
        <w:rPr>
          <w:rFonts w:ascii="Arial" w:cs="Arial" w:eastAsia="Arial" w:hAnsi="Arial"/>
          <w:b/>
          <w:bCs/>
        </w:rPr>
        <w:t xml:space="preserve">dans la base du client</w:t>
      </w:r>
      <w:r>
        <w:rPr>
          <w:rFonts w:ascii="Arial" w:cs="Arial" w:eastAsia="Arial" w:hAnsi="Arial"/>
        </w:rPr>
        <w:t xml:space="preserve"> et se limite </w:t>
      </w:r>
      <w:r>
        <w:rPr>
          <w:rFonts w:ascii="Arial" w:cs="Arial" w:eastAsia="Arial" w:hAnsi="Arial"/>
          <w:b/>
          <w:bCs/>
        </w:rPr>
        <w:t xml:space="preserve">au dossier du package</w:t>
      </w:r>
      <w:r>
        <w:rPr>
          <w:rFonts w:ascii="Arial" w:cs="Arial" w:eastAsia="Arial" w:hAnsi="Arial"/>
        </w:rPr>
        <w:t xml:space="preserve">.</w:t>
      </w:r>
    </w:p>
    <w:p>
      <w:pPr>
        <w:pBdr>
          <w:left w:val="single" w:color="888780" w:sz="12" w:space="6"/>
        </w:pBdr>
        <w:shd w:fill="F4F3EF" w:color="auto" w:val="clear"/>
        <w:spacing w:after="0" w:before="100" w:line="250"/>
        <w:ind w:left="160"/>
      </w:pPr>
      <w:r>
        <w:rPr>
          <w:rFonts w:ascii="Consolas" w:cs="Consolas" w:eastAsia="Consolas" w:hAnsi="Consolas"/>
          <w:color w:val="2C2C2A"/>
          <w:sz w:val="17"/>
          <w:szCs w:val="17"/>
        </w:rPr>
        <w:t xml:space="preserve">// Socle — app/Core/AppMigrator.php</w:t>
      </w:r>
    </w:p>
    <w:p>
      <w:pPr>
        <w:pBdr>
          <w:left w:val="single" w:color="888780" w:sz="12" w:space="6"/>
        </w:pBdr>
        <w:shd w:fill="F4F3EF" w:color="auto" w:val="clear"/>
        <w:spacing w:after="0" w:before="0" w:line="250"/>
        <w:ind w:left="160"/>
      </w:pPr>
      <w:r>
        <w:rPr>
          <w:rFonts w:ascii="Consolas" w:cs="Consolas" w:eastAsia="Consolas" w:hAnsi="Consolas"/>
          <w:color w:val="2C2C2A"/>
          <w:sz w:val="17"/>
          <w:szCs w:val="17"/>
        </w:rPr>
        <w:t xml:space="preserve">class AppMigrator</w:t>
      </w:r>
    </w:p>
    <w:p>
      <w:pPr>
        <w:pBdr>
          <w:left w:val="single" w:color="888780" w:sz="12" w:space="6"/>
        </w:pBdr>
        <w:shd w:fill="F4F3EF" w:color="auto" w:val="clear"/>
        <w:spacing w:after="0" w:before="0" w:line="250"/>
        <w:ind w:left="160"/>
      </w:pPr>
      <w:r>
        <w:rPr>
          <w:rFonts w:ascii="Consolas" w:cs="Consolas" w:eastAsia="Consolas" w:hAnsi="Consolas"/>
          <w:color w:val="2C2C2A"/>
          <w:sz w:val="17"/>
          <w:szCs w:val="17"/>
        </w:rPr>
        <w:t xml:space="preserve">{</w:t>
      </w:r>
    </w:p>
    <w:p>
      <w:pPr>
        <w:pBdr>
          <w:left w:val="single" w:color="888780" w:sz="12" w:space="6"/>
        </w:pBdr>
        <w:shd w:fill="F4F3EF" w:color="auto" w:val="clear"/>
        <w:spacing w:after="0" w:before="0" w:line="250"/>
        <w:ind w:left="160"/>
      </w:pPr>
      <w:r>
        <w:rPr>
          <w:rFonts w:ascii="Consolas" w:cs="Consolas" w:eastAsia="Consolas" w:hAnsi="Consolas"/>
          <w:color w:val="2C2C2A"/>
          <w:sz w:val="17"/>
          <w:szCs w:val="17"/>
        </w:rPr>
        <w:t xml:space="preserve">    public function migrate(Tenant $tenant, string $app): void</w:t>
      </w:r>
    </w:p>
    <w:p>
      <w:pPr>
        <w:pBdr>
          <w:left w:val="single" w:color="888780" w:sz="12" w:space="6"/>
        </w:pBdr>
        <w:shd w:fill="F4F3EF" w:color="auto" w:val="clear"/>
        <w:spacing w:after="0" w:before="0" w:line="250"/>
        <w:ind w:left="160"/>
      </w:pPr>
      <w:r>
        <w:rPr>
          <w:rFonts w:ascii="Consolas" w:cs="Consolas" w:eastAsia="Consolas" w:hAnsi="Consolas"/>
          <w:color w:val="2C2C2A"/>
          <w:sz w:val="17"/>
          <w:szCs w:val="17"/>
        </w:rPr>
        <w:t xml:space="preserve">    {</w:t>
      </w:r>
    </w:p>
    <w:p>
      <w:pPr>
        <w:pBdr>
          <w:left w:val="single" w:color="888780" w:sz="12" w:space="6"/>
        </w:pBdr>
        <w:shd w:fill="F4F3EF" w:color="auto" w:val="clear"/>
        <w:spacing w:after="0" w:before="0" w:line="250"/>
        <w:ind w:left="160"/>
      </w:pPr>
      <w:r>
        <w:rPr>
          <w:rFonts w:ascii="Consolas" w:cs="Consolas" w:eastAsia="Consolas" w:hAnsi="Consolas"/>
          <w:color w:val="2C2C2A"/>
          <w:sz w:val="17"/>
          <w:szCs w:val="17"/>
        </w:rPr>
        <w:t xml:space="preserve">        $path = base_path("packages/byplus/app-{$app}/database/migrations");</w:t>
      </w:r>
    </w:p>
    <w:p>
      <w:pPr>
        <w:pBdr>
          <w:left w:val="single" w:color="888780" w:sz="12" w:space="6"/>
        </w:pBdr>
        <w:shd w:fill="F4F3EF" w:color="auto" w:val="clear"/>
        <w:spacing w:after="0" w:before="0" w:line="250"/>
        <w:ind w:left="160"/>
      </w:pPr>
      <w:r>
        <w:rPr>
          <w:rFonts w:ascii="Consolas" w:cs="Consolas" w:eastAsia="Consolas" w:hAnsi="Consolas"/>
          <w:color w:val="2C2C2A"/>
          <w:sz w:val="17"/>
          <w:szCs w:val="17"/>
        </w:rPr>
        <w:t xml:space="preserve"> </w:t>
      </w:r>
    </w:p>
    <w:p>
      <w:pPr>
        <w:pBdr>
          <w:left w:val="single" w:color="888780" w:sz="12" w:space="6"/>
        </w:pBdr>
        <w:shd w:fill="F4F3EF" w:color="auto" w:val="clear"/>
        <w:spacing w:after="0" w:before="0" w:line="250"/>
        <w:ind w:left="160"/>
      </w:pPr>
      <w:r>
        <w:rPr>
          <w:rFonts w:ascii="Consolas" w:cs="Consolas" w:eastAsia="Consolas" w:hAnsi="Consolas"/>
          <w:color w:val="2C2C2A"/>
          <w:sz w:val="17"/>
          <w:szCs w:val="17"/>
        </w:rPr>
        <w:t xml:space="preserve">        $tenant-&gt;run(function () use ($path) {</w:t>
      </w:r>
    </w:p>
    <w:p>
      <w:pPr>
        <w:pBdr>
          <w:left w:val="single" w:color="888780" w:sz="12" w:space="6"/>
        </w:pBdr>
        <w:shd w:fill="F4F3EF" w:color="auto" w:val="clear"/>
        <w:spacing w:after="0" w:before="0" w:line="250"/>
        <w:ind w:left="160"/>
      </w:pPr>
      <w:r>
        <w:rPr>
          <w:rFonts w:ascii="Consolas" w:cs="Consolas" w:eastAsia="Consolas" w:hAnsi="Consolas"/>
          <w:color w:val="2C2C2A"/>
          <w:sz w:val="17"/>
          <w:szCs w:val="17"/>
        </w:rPr>
        <w:t xml:space="preserve">            Artisan::call('migrate', [</w:t>
      </w:r>
    </w:p>
    <w:p>
      <w:pPr>
        <w:pBdr>
          <w:left w:val="single" w:color="888780" w:sz="12" w:space="6"/>
        </w:pBdr>
        <w:shd w:fill="F4F3EF" w:color="auto" w:val="clear"/>
        <w:spacing w:after="0" w:before="0" w:line="250"/>
        <w:ind w:left="160"/>
      </w:pPr>
      <w:r>
        <w:rPr>
          <w:rFonts w:ascii="Consolas" w:cs="Consolas" w:eastAsia="Consolas" w:hAnsi="Consolas"/>
          <w:color w:val="2C2C2A"/>
          <w:sz w:val="17"/>
          <w:szCs w:val="17"/>
        </w:rPr>
        <w:t xml:space="preserve">                '--path'     =&gt; $path,  // seulement les tables de cette app</w:t>
      </w:r>
    </w:p>
    <w:p>
      <w:pPr>
        <w:pBdr>
          <w:left w:val="single" w:color="888780" w:sz="12" w:space="6"/>
        </w:pBdr>
        <w:shd w:fill="F4F3EF" w:color="auto" w:val="clear"/>
        <w:spacing w:after="0" w:before="0" w:line="250"/>
        <w:ind w:left="160"/>
      </w:pPr>
      <w:r>
        <w:rPr>
          <w:rFonts w:ascii="Consolas" w:cs="Consolas" w:eastAsia="Consolas" w:hAnsi="Consolas"/>
          <w:color w:val="2C2C2A"/>
          <w:sz w:val="17"/>
          <w:szCs w:val="17"/>
        </w:rPr>
        <w:t xml:space="preserve">                '--realpath' =&gt; true,</w:t>
      </w:r>
    </w:p>
    <w:p>
      <w:pPr>
        <w:pBdr>
          <w:left w:val="single" w:color="888780" w:sz="12" w:space="6"/>
        </w:pBdr>
        <w:shd w:fill="F4F3EF" w:color="auto" w:val="clear"/>
        <w:spacing w:after="0" w:before="0" w:line="250"/>
        <w:ind w:left="160"/>
      </w:pPr>
      <w:r>
        <w:rPr>
          <w:rFonts w:ascii="Consolas" w:cs="Consolas" w:eastAsia="Consolas" w:hAnsi="Consolas"/>
          <w:color w:val="2C2C2A"/>
          <w:sz w:val="17"/>
          <w:szCs w:val="17"/>
        </w:rPr>
        <w:t xml:space="preserve">                '--force'    =&gt; true,   // obligatoire en production</w:t>
      </w:r>
    </w:p>
    <w:p>
      <w:pPr>
        <w:pBdr>
          <w:left w:val="single" w:color="888780" w:sz="12" w:space="6"/>
        </w:pBdr>
        <w:shd w:fill="F4F3EF" w:color="auto" w:val="clear"/>
        <w:spacing w:after="0" w:before="0" w:line="250"/>
        <w:ind w:left="160"/>
      </w:pPr>
      <w:r>
        <w:rPr>
          <w:rFonts w:ascii="Consolas" w:cs="Consolas" w:eastAsia="Consolas" w:hAnsi="Consolas"/>
          <w:color w:val="2C2C2A"/>
          <w:sz w:val="17"/>
          <w:szCs w:val="17"/>
        </w:rPr>
        <w:t xml:space="preserve">            ]);</w:t>
      </w:r>
    </w:p>
    <w:p>
      <w:pPr>
        <w:pBdr>
          <w:left w:val="single" w:color="888780" w:sz="12" w:space="6"/>
        </w:pBdr>
        <w:shd w:fill="F4F3EF" w:color="auto" w:val="clear"/>
        <w:spacing w:after="0" w:before="0" w:line="250"/>
        <w:ind w:left="160"/>
      </w:pPr>
      <w:r>
        <w:rPr>
          <w:rFonts w:ascii="Consolas" w:cs="Consolas" w:eastAsia="Consolas" w:hAnsi="Consolas"/>
          <w:color w:val="2C2C2A"/>
          <w:sz w:val="17"/>
          <w:szCs w:val="17"/>
        </w:rPr>
        <w:t xml:space="preserve">        });</w:t>
      </w:r>
    </w:p>
    <w:p>
      <w:pPr>
        <w:pBdr>
          <w:left w:val="single" w:color="888780" w:sz="12" w:space="6"/>
        </w:pBdr>
        <w:shd w:fill="F4F3EF" w:color="auto" w:val="clear"/>
        <w:spacing w:after="0" w:before="0" w:line="250"/>
        <w:ind w:left="160"/>
      </w:pPr>
      <w:r>
        <w:rPr>
          <w:rFonts w:ascii="Consolas" w:cs="Consolas" w:eastAsia="Consolas" w:hAnsi="Consolas"/>
          <w:color w:val="2C2C2A"/>
          <w:sz w:val="17"/>
          <w:szCs w:val="17"/>
        </w:rPr>
        <w:t xml:space="preserve">    }</w:t>
      </w:r>
    </w:p>
    <w:p>
      <w:pPr>
        <w:pBdr>
          <w:left w:val="single" w:color="888780" w:sz="12" w:space="6"/>
        </w:pBdr>
        <w:shd w:fill="F4F3EF" w:color="auto" w:val="clear"/>
        <w:spacing w:after="200" w:before="0" w:line="250"/>
        <w:ind w:left="160"/>
      </w:pPr>
      <w:r>
        <w:rPr>
          <w:rFonts w:ascii="Consolas" w:cs="Consolas" w:eastAsia="Consolas" w:hAnsi="Consolas"/>
          <w:color w:val="2C2C2A"/>
          <w:sz w:val="17"/>
          <w:szCs w:val="17"/>
        </w:rPr>
        <w:t xml:space="preserve">}</w:t>
      </w:r>
    </w:p>
    <w:p>
      <w:pPr>
        <w:spacing w:after="120" w:line="300"/>
      </w:pPr>
      <w:r>
        <w:rPr>
          <w:rFonts w:ascii="Arial" w:cs="Arial" w:eastAsia="Arial" w:hAnsi="Arial"/>
        </w:rPr>
        <w:t xml:space="preserve">Appel dans l'installateur, pour chaque package manquant :</w:t>
      </w:r>
    </w:p>
    <w:p>
      <w:pPr>
        <w:pBdr>
          <w:left w:val="single" w:color="888780" w:sz="12" w:space="6"/>
        </w:pBdr>
        <w:shd w:fill="F4F3EF" w:color="auto" w:val="clear"/>
        <w:spacing w:after="0" w:before="100" w:line="250"/>
        <w:ind w:left="160"/>
      </w:pPr>
      <w:r>
        <w:rPr>
          <w:rFonts w:ascii="Consolas" w:cs="Consolas" w:eastAsia="Consolas" w:hAnsi="Consolas"/>
          <w:color w:val="2C2C2A"/>
          <w:sz w:val="17"/>
          <w:szCs w:val="17"/>
        </w:rPr>
        <w:t xml:space="preserve">foreach ($plan-&gt;missingFor($tenant) as $package) {</w:t>
      </w:r>
    </w:p>
    <w:p>
      <w:pPr>
        <w:pBdr>
          <w:left w:val="single" w:color="888780" w:sz="12" w:space="6"/>
        </w:pBdr>
        <w:shd w:fill="F4F3EF" w:color="auto" w:val="clear"/>
        <w:spacing w:after="0" w:before="0" w:line="250"/>
        <w:ind w:left="160"/>
      </w:pPr>
      <w:r>
        <w:rPr>
          <w:rFonts w:ascii="Consolas" w:cs="Consolas" w:eastAsia="Consolas" w:hAnsi="Consolas"/>
          <w:color w:val="2C2C2A"/>
          <w:sz w:val="17"/>
          <w:szCs w:val="17"/>
        </w:rPr>
        <w:t xml:space="preserve">    $this-&gt;migrator-&gt;migrate($tenant, $package-&gt;key);    // 1. tables de l'app</w:t>
      </w:r>
    </w:p>
    <w:p>
      <w:pPr>
        <w:pBdr>
          <w:left w:val="single" w:color="888780" w:sz="12" w:space="6"/>
        </w:pBdr>
        <w:shd w:fill="F4F3EF" w:color="auto" w:val="clear"/>
        <w:spacing w:after="0" w:before="0" w:line="250"/>
        <w:ind w:left="160"/>
      </w:pPr>
      <w:r>
        <w:rPr>
          <w:rFonts w:ascii="Consolas" w:cs="Consolas" w:eastAsia="Consolas" w:hAnsi="Consolas"/>
          <w:color w:val="2C2C2A"/>
          <w:sz w:val="17"/>
          <w:szCs w:val="17"/>
        </w:rPr>
        <w:t xml:space="preserve">    $tenant-&gt;run(fn () =&gt; $package-&gt;install());          // 2. données par défaut</w:t>
      </w:r>
    </w:p>
    <w:p>
      <w:pPr>
        <w:pBdr>
          <w:left w:val="single" w:color="888780" w:sz="12" w:space="6"/>
        </w:pBdr>
        <w:shd w:fill="F4F3EF" w:color="auto" w:val="clear"/>
        <w:spacing w:after="0" w:before="0" w:line="250"/>
        <w:ind w:left="160"/>
      </w:pPr>
      <w:r>
        <w:rPr>
          <w:rFonts w:ascii="Consolas" w:cs="Consolas" w:eastAsia="Consolas" w:hAnsi="Consolas"/>
          <w:color w:val="2C2C2A"/>
          <w:sz w:val="17"/>
          <w:szCs w:val="17"/>
        </w:rPr>
        <w:t xml:space="preserve">    $this-&gt;registry-&gt;markActive($tenant, $package, $by); // 3. activation</w:t>
      </w:r>
    </w:p>
    <w:p>
      <w:pPr>
        <w:pBdr>
          <w:left w:val="single" w:color="888780" w:sz="12" w:space="6"/>
        </w:pBdr>
        <w:shd w:fill="F4F3EF" w:color="auto" w:val="clear"/>
        <w:spacing w:after="200" w:before="0" w:line="250"/>
        <w:ind w:left="160"/>
      </w:pPr>
      <w:r>
        <w:rPr>
          <w:rFonts w:ascii="Consolas" w:cs="Consolas" w:eastAsia="Consolas" w:hAnsi="Consolas"/>
          <w:color w:val="2C2C2A"/>
          <w:sz w:val="17"/>
          <w:szCs w:val="17"/>
        </w:rPr>
        <w:t xml:space="preserve">}</w:t>
      </w:r>
    </w:p>
    <w:p>
      <w:pPr>
        <w:pStyle w:val="ListParagraph"/>
        <w:numPr>
          <w:ilvl w:val="0"/>
          <w:numId w:val="2"/>
        </w:numPr>
        <w:spacing w:after="80" w:line="290"/>
      </w:pPr>
      <w:r>
        <w:rPr>
          <w:rFonts w:ascii="Arial" w:cs="Arial" w:eastAsia="Arial" w:hAnsi="Arial"/>
          <w:b/>
          <w:bCs/>
        </w:rPr>
        <w:t xml:space="preserve">Pas de loadMigrationsFrom</w:t>
      </w:r>
      <w:r>
        <w:rPr>
          <w:rFonts w:ascii="Arial" w:cs="Arial" w:eastAsia="Arial" w:hAnsi="Arial"/>
        </w:rPr>
        <w:t xml:space="preserve"> dans le provider du package : sinon un migrate global créerait les tables chez tous les clients.</w:t>
      </w:r>
    </w:p>
    <w:p>
      <w:pPr>
        <w:pStyle w:val="ListParagraph"/>
        <w:numPr>
          <w:ilvl w:val="0"/>
          <w:numId w:val="2"/>
        </w:numPr>
        <w:spacing w:after="80" w:line="290"/>
      </w:pPr>
      <w:r>
        <w:rPr>
          <w:rFonts w:ascii="Arial" w:cs="Arial" w:eastAsia="Arial" w:hAnsi="Arial"/>
          <w:b/>
          <w:bCs/>
        </w:rPr>
        <w:t xml:space="preserve">Relançable</w:t>
      </w:r>
      <w:r>
        <w:rPr>
          <w:rFonts w:ascii="Arial" w:cs="Arial" w:eastAsia="Arial" w:hAnsi="Arial"/>
        </w:rPr>
        <w:t xml:space="preserve"> : la table </w:t>
      </w:r>
      <w:r>
        <w:rPr>
          <w:rFonts w:ascii="Consolas" w:cs="Consolas" w:eastAsia="Consolas" w:hAnsi="Consolas"/>
          <w:color w:val="8B2E1F"/>
          <w:sz w:val="19"/>
          <w:szCs w:val="19"/>
        </w:rPr>
        <w:t xml:space="preserve">migrations</w:t>
      </w:r>
      <w:r>
        <w:rPr>
          <w:rFonts w:ascii="Arial" w:cs="Arial" w:eastAsia="Arial" w:hAnsi="Arial"/>
        </w:rPr>
        <w:t xml:space="preserve"> du client garde la trace ; seules les nouvelles migrations passent (utile aussi pour les mises à jour).</w:t>
      </w:r>
    </w:p>
    <w:p>
      <w:pPr>
        <w:pStyle w:val="Heading1"/>
        <w:pageBreakBefore/>
      </w:pPr>
      <w:r>
        <w:t xml:space="preserve">6. Protéger et gérer</w:t>
      </w:r>
    </w:p>
    <w:p>
      <w:pPr>
        <w:spacing w:after="200" w:before="120"/>
        <w:jc w:val="center"/>
      </w:pPr>
      <w:r>
        <w:drawing>
          <wp:inline distT="0" distB="0" distL="0" distR="0">
            <wp:extent cx="5715000" cy="2800350"/>
            <wp:effectExtent t="0" r="0" b="0" l="0"/>
            <wp:docPr id="1" name="d11_points_entree" descr="d11_points_entree" title="d11_points_entree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" descr=""/>
                    <pic:cNvPicPr>
                      <a:picLocks noChangeAspect="1" noChangeArrowheads="1"/>
                    </pic:cNvPicPr>
                  </pic:nvPicPr>
                  <pic:blipFill>
                    <a:blip r:embed="rId15" cstate="none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715000" cy="280035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>
      <w:pPr>
        <w:spacing w:after="200" w:before="120"/>
        <w:jc w:val="center"/>
      </w:pPr>
      <w:r>
        <w:drawing>
          <wp:inline distT="0" distB="0" distL="0" distR="0">
            <wp:extent cx="5715000" cy="1943100"/>
            <wp:effectExtent t="0" r="0" b="0" l="0"/>
            <wp:docPr id="1" name="d12_cycle_vie" descr="d12_cycle_vie" title="d12_cycle_vie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" descr=""/>
                    <pic:cNvPicPr>
                      <a:picLocks noChangeAspect="1" noChangeArrowheads="1"/>
                    </pic:cNvPicPr>
                  </pic:nvPicPr>
                  <pic:blipFill>
                    <a:blip r:embed="rId16" cstate="none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715000" cy="19431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>
      <w:pPr>
        <w:pStyle w:val="Heading2"/>
      </w:pPr>
      <w:r>
        <w:t xml:space="preserve">Travaux à réaliser</w:t>
      </w:r>
    </w:p>
    <w:p>
      <w:pPr>
        <w:pStyle w:val="ListParagraph"/>
        <w:numPr>
          <w:ilvl w:val="0"/>
          <w:numId w:val="3"/>
        </w:numPr>
        <w:spacing w:after="80" w:line="290"/>
      </w:pPr>
      <w:r>
        <w:rPr>
          <w:rFonts w:ascii="Arial" w:cs="Arial" w:eastAsia="Arial" w:hAnsi="Arial"/>
        </w:rPr>
        <w:t xml:space="preserve">Séparer l'endpoint en </w:t>
      </w:r>
      <w:r>
        <w:rPr>
          <w:rFonts w:ascii="Consolas" w:cs="Consolas" w:eastAsia="Consolas" w:hAnsi="Consolas"/>
          <w:color w:val="8B2E1F"/>
          <w:sz w:val="19"/>
          <w:szCs w:val="19"/>
        </w:rPr>
        <w:t xml:space="preserve">install</w:t>
      </w:r>
      <w:r>
        <w:rPr>
          <w:rFonts w:ascii="Arial" w:cs="Arial" w:eastAsia="Arial" w:hAnsi="Arial"/>
        </w:rPr>
        <w:t xml:space="preserve"> et </w:t>
      </w:r>
      <w:r>
        <w:rPr>
          <w:rFonts w:ascii="Consolas" w:cs="Consolas" w:eastAsia="Consolas" w:hAnsi="Consolas"/>
          <w:color w:val="8B2E1F"/>
          <w:sz w:val="19"/>
          <w:szCs w:val="19"/>
        </w:rPr>
        <w:t xml:space="preserve">disable</w:t>
      </w:r>
      <w:r>
        <w:rPr>
          <w:rFonts w:ascii="Arial" w:cs="Arial" w:eastAsia="Arial" w:hAnsi="Arial"/>
        </w:rPr>
        <w:t xml:space="preserve">.</w:t>
      </w:r>
    </w:p>
    <w:p>
      <w:pPr>
        <w:pStyle w:val="ListParagraph"/>
        <w:numPr>
          <w:ilvl w:val="0"/>
          <w:numId w:val="3"/>
        </w:numPr>
        <w:spacing w:after="80" w:line="290"/>
      </w:pPr>
      <w:r>
        <w:rPr>
          <w:rFonts w:ascii="Arial" w:cs="Arial" w:eastAsia="Arial" w:hAnsi="Arial"/>
        </w:rPr>
        <w:t xml:space="preserve">Ranger les migrations par package ; retirer la migration globale de </w:t>
      </w:r>
      <w:r>
        <w:rPr>
          <w:rFonts w:ascii="Consolas" w:cs="Consolas" w:eastAsia="Consolas" w:hAnsi="Consolas"/>
          <w:color w:val="8B2E1F"/>
          <w:sz w:val="19"/>
          <w:szCs w:val="19"/>
        </w:rPr>
        <w:t xml:space="preserve">MigrateDatabase</w:t>
      </w:r>
      <w:r>
        <w:rPr>
          <w:rFonts w:ascii="Arial" w:cs="Arial" w:eastAsia="Arial" w:hAnsi="Arial"/>
        </w:rPr>
        <w:t xml:space="preserve">.</w:t>
      </w:r>
    </w:p>
    <w:p>
      <w:pPr>
        <w:pStyle w:val="ListParagraph"/>
        <w:numPr>
          <w:ilvl w:val="0"/>
          <w:numId w:val="3"/>
        </w:numPr>
        <w:spacing w:after="80" w:line="290"/>
      </w:pPr>
      <w:r>
        <w:rPr>
          <w:rFonts w:ascii="Arial" w:cs="Arial" w:eastAsia="Arial" w:hAnsi="Arial"/>
        </w:rPr>
        <w:t xml:space="preserve">Commande </w:t>
      </w:r>
      <w:r>
        <w:rPr>
          <w:rFonts w:ascii="Consolas" w:cs="Consolas" w:eastAsia="Consolas" w:hAnsi="Consolas"/>
          <w:color w:val="8B2E1F"/>
          <w:sz w:val="19"/>
          <w:szCs w:val="19"/>
        </w:rPr>
        <w:t xml:space="preserve">byplus:migrate</w:t>
      </w:r>
      <w:r>
        <w:rPr>
          <w:rFonts w:ascii="Arial" w:cs="Arial" w:eastAsia="Arial" w:hAnsi="Arial"/>
        </w:rPr>
        <w:t xml:space="preserve"> : migrations par client, seulement pour ses packages installés.</w:t>
      </w:r>
    </w:p>
    <w:p>
      <w:pPr>
        <w:pStyle w:val="ListParagraph"/>
        <w:numPr>
          <w:ilvl w:val="0"/>
          <w:numId w:val="3"/>
        </w:numPr>
        <w:spacing w:after="80" w:line="290"/>
      </w:pPr>
      <w:r>
        <w:rPr>
          <w:rFonts w:ascii="Arial" w:cs="Arial" w:eastAsia="Arial" w:hAnsi="Arial"/>
        </w:rPr>
        <w:t xml:space="preserve">Créer </w:t>
      </w:r>
      <w:r>
        <w:rPr>
          <w:rFonts w:ascii="Arial" w:cs="Arial" w:eastAsia="Arial" w:hAnsi="Arial"/>
          <w:b/>
          <w:bCs/>
        </w:rPr>
        <w:t xml:space="preserve">AppRegistry</w:t>
      </w:r>
      <w:r>
        <w:rPr>
          <w:rFonts w:ascii="Arial" w:cs="Arial" w:eastAsia="Arial" w:hAnsi="Arial"/>
        </w:rPr>
        <w:t xml:space="preserve"> et </w:t>
      </w:r>
      <w:r>
        <w:rPr>
          <w:rFonts w:ascii="Arial" w:cs="Arial" w:eastAsia="Arial" w:hAnsi="Arial"/>
          <w:b/>
          <w:bCs/>
        </w:rPr>
        <w:t xml:space="preserve">AppInstaller</w:t>
      </w:r>
      <w:r>
        <w:rPr>
          <w:rFonts w:ascii="Arial" w:cs="Arial" w:eastAsia="Arial" w:hAnsi="Arial"/>
        </w:rPr>
        <w:t xml:space="preserve">.</w:t>
      </w:r>
    </w:p>
    <w:p>
      <w:pPr>
        <w:pStyle w:val="ListParagraph"/>
        <w:numPr>
          <w:ilvl w:val="0"/>
          <w:numId w:val="3"/>
        </w:numPr>
        <w:spacing w:after="80" w:line="290"/>
      </w:pPr>
      <w:r>
        <w:rPr>
          <w:rFonts w:ascii="Arial" w:cs="Arial" w:eastAsia="Arial" w:hAnsi="Arial"/>
        </w:rPr>
        <w:t xml:space="preserve">Brancher et rendre idempotents les seeders existants.</w:t>
      </w:r>
    </w:p>
    <w:p>
      <w:pPr>
        <w:pStyle w:val="ListParagraph"/>
        <w:numPr>
          <w:ilvl w:val="0"/>
          <w:numId w:val="3"/>
        </w:numPr>
        <w:spacing w:after="80" w:line="290"/>
      </w:pPr>
      <w:r>
        <w:rPr>
          <w:rFonts w:ascii="Arial" w:cs="Arial" w:eastAsia="Arial" w:hAnsi="Arial"/>
        </w:rPr>
        <w:t xml:space="preserve">Middleware </w:t>
      </w:r>
      <w:r>
        <w:rPr>
          <w:rFonts w:ascii="Consolas" w:cs="Consolas" w:eastAsia="Consolas" w:hAnsi="Consolas"/>
          <w:color w:val="8B2E1F"/>
          <w:sz w:val="19"/>
          <w:szCs w:val="19"/>
        </w:rPr>
        <w:t xml:space="preserve">app.enabled</w:t>
      </w:r>
      <w:r>
        <w:rPr>
          <w:rFonts w:ascii="Arial" w:cs="Arial" w:eastAsia="Arial" w:hAnsi="Arial"/>
        </w:rPr>
        <w:t xml:space="preserve"> sur toutes les routes (commencer par Access).</w:t>
      </w:r>
    </w:p>
    <w:p>
      <w:pPr>
        <w:pStyle w:val="ListParagraph"/>
        <w:numPr>
          <w:ilvl w:val="0"/>
          <w:numId w:val="3"/>
        </w:numPr>
        <w:spacing w:after="80" w:line="290"/>
      </w:pPr>
      <w:r>
        <w:rPr>
          <w:rFonts w:ascii="Arial" w:cs="Arial" w:eastAsia="Arial" w:hAnsi="Arial"/>
        </w:rPr>
        <w:t xml:space="preserve">Filtrer écouteurs, tâches planifiées et jobs par app active.</w:t>
      </w:r>
    </w:p>
    <w:p>
      <w:pPr>
        <w:pStyle w:val="ListParagraph"/>
        <w:numPr>
          <w:ilvl w:val="0"/>
          <w:numId w:val="3"/>
        </w:numPr>
        <w:spacing w:after="80" w:line="290"/>
      </w:pPr>
      <w:r>
        <w:rPr>
          <w:rFonts w:ascii="Arial" w:cs="Arial" w:eastAsia="Arial" w:hAnsi="Arial"/>
        </w:rPr>
        <w:t xml:space="preserve">Tests par app : routes de l'app en 200, des autres en 403.</w:t>
      </w:r>
    </w:p>
    <w:sectPr>
      <w:headerReference w:type="default" r:id="rId7"/>
      <w:footerReference w:type="default" r:id="rId8"/>
      <w:pgSz w:w="11906" w:h="16838" w:orient="portrait"/>
      <w:pgMar w:top="1134" w:right="1134" w:bottom="1134" w:left="113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jc w:val="center"/>
    </w:pPr>
    <w:r>
      <w:rPr>
        <w:rFonts w:ascii="Arial" w:cs="Arial" w:eastAsia="Arial" w:hAnsi="Arial"/>
        <w:color w:val="888780"/>
        <w:sz w:val="16"/>
        <w:szCs w:val="16"/>
      </w:rPr>
      <w:fldChar w:fldCharType="begin"/>
      <w:instrText xml:space="preserve">PAGE</w:instrText>
      <w:fldChar w:fldCharType="separate"/>
      <w:fldChar w:fldCharType="end"/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w16cid="http://schemas.microsoft.com/office/word/2016/wordml/cid" xmlns:w16se="http://schemas.microsoft.com/office/word/2015/wordml/symex">
  <w:p>
    <w:pPr>
      <w:jc w:val="right"/>
    </w:pPr>
    <w:r>
      <w:rPr>
        <w:rFonts w:ascii="Arial" w:cs="Arial" w:eastAsia="Arial" w:hAnsi="Arial"/>
        <w:color w:val="888780"/>
        <w:sz w:val="16"/>
        <w:szCs w:val="16"/>
      </w:rPr>
      <w:t xml:space="preserve">Modularisation de la suite BY+ · septembre 2026</w:t>
    </w: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abstractNum w:abstractNumId="2" w15:restartNumberingAfterBreak="0">
    <w:multiLevelType w:val="hybridMultilevel"/>
    <w:lvl w:ilvl="0" w15:tentative="1">
      <w:start w:val="1"/>
      <w:numFmt w:val="bullet"/>
      <w:lvlText w:val="•"/>
      <w:lvlJc w:val="left"/>
      <w:pPr>
        <w:ind w:left="560" w:hanging="280"/>
      </w:pPr>
    </w:lvl>
  </w:abstractNum>
  <w:abstractNum w:abstractNumId="3" w15:restartNumberingAfterBreak="0">
    <w:multiLevelType w:val="hybridMultilevel"/>
    <w:lvl w:ilvl="0" w15:tentative="1">
      <w:start w:val="1"/>
      <w:numFmt w:val="decimal"/>
      <w:lvlText w:val="%1."/>
      <w:lvlJc w:val="left"/>
      <w:pPr>
        <w:ind w:left="560" w:hanging="320"/>
      </w:pPr>
    </w:lvl>
  </w:abstractNum>
  <w:abstractNum w:abstractNumId="4" w15:restartNumberingAfterBreak="0">
    <w:multiLevelType w:val="hybridMultilevel"/>
    <w:lvl w:ilvl="0" w15:tentative="1">
      <w:start w:val="1"/>
      <w:numFmt w:val="bullet"/>
      <w:lvlText w:val="☐"/>
      <w:lvlJc w:val="left"/>
      <w:pPr>
        <w:ind w:left="560" w:hanging="320"/>
      </w:pPr>
    </w:lvl>
  </w:abstractNum>
  <w:num w:numId="1">
    <w:abstractNumId w:val="1"/>
    <w:lvlOverride w:ilvl="0">
      <w:startOverride w:val="1"/>
    </w:lvlOverride>
  </w:num>
  <w:num w:numId="2">
    <w:abstractNumId w:val="2"/>
    <w:lvlOverride w:ilvl="0">
      <w:startOverride w:val="1"/>
    </w:lvlOverride>
  </w:num>
  <w:num w:numId="3">
    <w:abstractNumId w:val="4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Arial" w:cs="Arial" w:eastAsia="Arial" w:hAnsi="Arial"/>
        <w:color w:val="2C2C2A"/>
        <w:sz w:val="21"/>
        <w:szCs w:val="21"/>
      </w:rPr>
    </w:rPrDefault>
    <w:pPrDefault/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  <w:style w:type="paragraph" w:styleId="Heading1">
    <w:name w:val="Heading 1"/>
    <w:basedOn w:val="Normal"/>
    <w:next w:val="Normal"/>
    <w:qFormat/>
    <w:pPr>
      <w:pBdr>
        <w:bottom w:val="single" w:color="1F3A5F" w:sz="8" w:space="4"/>
      </w:pBdr>
      <w:spacing w:after="200" w:before="240"/>
      <w:outlineLvl w:val="0"/>
    </w:pPr>
    <w:rPr>
      <w:rFonts w:ascii="Arial" w:cs="Arial" w:eastAsia="Arial" w:hAnsi="Arial"/>
      <w:b/>
      <w:bCs/>
      <w:color w:val="1F3A5F"/>
      <w:sz w:val="32"/>
      <w:szCs w:val="32"/>
    </w:rPr>
  </w:style>
  <w:style w:type="paragraph" w:styleId="Heading2">
    <w:name w:val="Heading 2"/>
    <w:basedOn w:val="Normal"/>
    <w:next w:val="Normal"/>
    <w:qFormat/>
    <w:pPr>
      <w:spacing w:after="120" w:before="280"/>
      <w:outlineLvl w:val="1"/>
    </w:pPr>
    <w:rPr>
      <w:rFonts w:ascii="Arial" w:cs="Arial" w:eastAsia="Arial" w:hAnsi="Arial"/>
      <w:b/>
      <w:bCs/>
      <w:color w:val="185FA5"/>
      <w:sz w:val="25"/>
      <w:szCs w:val="25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header" Target="header1.xml"/><Relationship Id="rId8" Type="http://schemas.openxmlformats.org/officeDocument/2006/relationships/footer" Target="footer1.xml"/><Relationship Id="rId9" Type="http://schemas.openxmlformats.org/officeDocument/2006/relationships/image" Target="media/63b78ac79d88eadbccd373590d831091bd40563a.png"/><Relationship Id="rId10" Type="http://schemas.openxmlformats.org/officeDocument/2006/relationships/image" Target="media/29fa2a508bdcdb71295af8ca2a7f139a1e03913e.png"/><Relationship Id="rId11" Type="http://schemas.openxmlformats.org/officeDocument/2006/relationships/image" Target="media/8ea24b5eff6593e4208875a98cc9ff73424905f5.png"/><Relationship Id="rId12" Type="http://schemas.openxmlformats.org/officeDocument/2006/relationships/image" Target="media/6d4b31359e2c68d1bf9793715975d43b6ba4ef23.png"/><Relationship Id="rId13" Type="http://schemas.openxmlformats.org/officeDocument/2006/relationships/image" Target="media/109739a57ea56f2012c4f49ea7d1cfd444fd7361.png"/><Relationship Id="rId14" Type="http://schemas.openxmlformats.org/officeDocument/2006/relationships/image" Target="media/f0a71729b5abd6d98e74f0c49fa633290f3924cd.png"/><Relationship Id="rId15" Type="http://schemas.openxmlformats.org/officeDocument/2006/relationships/image" Target="media/227560760a1bac58f27ad5ae599cccf8f9df7730.png"/><Relationship Id="rId16" Type="http://schemas.openxmlformats.org/officeDocument/2006/relationships/image" Target="media/ff542299d7331293092d1603efffa8d08d8ab3d9.png"/><Relationship Id="rId17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word/_rels/header1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Modularisation de la suite BY+</dc:title>
  <dc:creator>BY+</dc:creator>
  <cp:lastModifiedBy>Un-named</cp:lastModifiedBy>
  <cp:revision>1</cp:revision>
  <dcterms:created xsi:type="dcterms:W3CDTF">2026-09-28T17:16:36.968Z</dcterms:created>
  <dcterms:modified xsi:type="dcterms:W3CDTF">2026-09-28T17:16:36.968Z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