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media/image1.png" ContentType="image/png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0" w:after="0"/>
        <w:jc w:val="left"/>
        <w:rPr/>
      </w:pP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single"/>
          <w:shd w:fill="auto" w:val="clear"/>
        </w:rPr>
        <w:t>Version:</w:t>
      </w: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none"/>
          <w:shd w:fill="auto" w:val="clear"/>
        </w:rPr>
        <w:t xml:space="preserve"> </w:t>
      </w:r>
      <w:r>
        <w:rPr>
          <w:rFonts w:eastAsia="Times New Roman" w:cs="Times New Roman" w:ascii="Yrsa" w:hAnsi="Yrsa"/>
          <w:b w:val="false"/>
          <w:bCs w:val="false"/>
          <w:color w:val="000000"/>
          <w:sz w:val="30"/>
          <w:szCs w:val="30"/>
          <w:u w:val="none"/>
          <w:shd w:fill="auto" w:val="clear"/>
        </w:rPr>
        <w:t>1.0</w:t>
      </w:r>
    </w:p>
    <w:p>
      <w:pPr>
        <w:pStyle w:val="normal1"/>
        <w:spacing w:before="0" w:after="0"/>
        <w:jc w:val="left"/>
        <w:rPr/>
      </w:pP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single"/>
          <w:shd w:fill="auto" w:val="clear"/>
        </w:rPr>
        <w:t>Date:</w:t>
      </w: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none"/>
          <w:shd w:fill="auto" w:val="clear"/>
        </w:rPr>
        <w:t xml:space="preserve"> </w:t>
      </w:r>
      <w:r>
        <w:rPr>
          <w:rFonts w:eastAsia="Times New Roman" w:cs="Times New Roman" w:ascii="Yrsa" w:hAnsi="Yrsa"/>
          <w:b w:val="false"/>
          <w:bCs w:val="false"/>
          <w:color w:val="000000"/>
          <w:sz w:val="30"/>
          <w:szCs w:val="30"/>
          <w:u w:val="none"/>
          <w:shd w:fill="auto" w:val="clear"/>
        </w:rPr>
        <w:t>Janvier 2026</w:t>
      </w:r>
    </w:p>
    <w:p>
      <w:pPr>
        <w:pStyle w:val="normal1"/>
        <w:spacing w:before="0" w:after="0"/>
        <w:jc w:val="left"/>
        <w:rPr/>
      </w:pP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single"/>
          <w:shd w:fill="auto" w:val="clear"/>
        </w:rPr>
        <w:t>Statut:</w:t>
      </w: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none"/>
          <w:shd w:fill="auto" w:val="clear"/>
        </w:rPr>
        <w:t xml:space="preserve"> </w:t>
      </w:r>
      <w:r>
        <w:rPr>
          <w:rFonts w:eastAsia="Times New Roman" w:cs="Times New Roman" w:ascii="Yrsa" w:hAnsi="Yrsa"/>
          <w:b w:val="false"/>
          <w:bCs w:val="false"/>
          <w:color w:val="000000"/>
          <w:sz w:val="30"/>
          <w:szCs w:val="30"/>
          <w:u w:val="none"/>
          <w:shd w:fill="auto" w:val="clear"/>
        </w:rPr>
        <w:t>Production</w:t>
      </w:r>
    </w:p>
    <w:p>
      <w:pPr>
        <w:pStyle w:val="Heading1"/>
        <w:jc w:val="center"/>
        <w:rPr>
          <w:rFonts w:eastAsia="Times New Roman" w:cs="Times New Roman"/>
          <w:u w:val="none"/>
        </w:rPr>
      </w:pPr>
      <w:r>
        <w:rPr>
          <w:rFonts w:eastAsia="Times New Roman" w:cs="Times New Roman"/>
          <w:u w:val="none"/>
        </w:rPr>
      </w:r>
    </w:p>
    <w:p>
      <w:pPr>
        <w:pStyle w:val="Heading1"/>
        <w:jc w:val="center"/>
        <w:rPr>
          <w:rFonts w:eastAsia="Times New Roman" w:cs="Times New Roman"/>
          <w:u w:val="none"/>
        </w:rPr>
      </w:pPr>
      <w:r>
        <w:rPr>
          <w:rFonts w:eastAsia="Times New Roman" w:cs="Times New Roman"/>
          <w:u w:val="none"/>
        </w:rPr>
      </w:r>
    </w:p>
    <w:p>
      <w:pPr>
        <w:pStyle w:val="Heading1"/>
        <w:jc w:val="center"/>
        <w:rPr>
          <w:rFonts w:eastAsia="Times New Roman" w:cs="Times New Roman"/>
          <w:u w:val="none"/>
        </w:rPr>
      </w:pPr>
      <w:r>
        <w:rPr>
          <w:rFonts w:eastAsia="Times New Roman" w:cs="Times New Roman"/>
          <w:u w:val="none"/>
        </w:rPr>
      </w:r>
    </w:p>
    <w:p>
      <w:pPr>
        <w:pStyle w:val="Heading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Heading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Heading1"/>
        <w:spacing w:before="0" w:after="227"/>
        <w:jc w:val="center"/>
        <w:rPr/>
      </w:pPr>
      <w:r>
        <w:rPr>
          <w:rFonts w:eastAsia="Times New Roman" w:cs="Times New Roman" w:ascii="Yrsa" w:hAnsi="Yrsa"/>
          <w:b/>
          <w:bCs/>
          <w:color w:val="000000"/>
          <w:sz w:val="80"/>
          <w:szCs w:val="80"/>
          <w:u w:val="none"/>
          <w:shd w:fill="auto" w:val="clear"/>
        </w:rPr>
        <w:t>KOBO</w:t>
      </w:r>
    </w:p>
    <w:p>
      <w:pPr>
        <w:pStyle w:val="Heading1"/>
        <w:spacing w:before="176" w:after="119"/>
        <w:jc w:val="center"/>
        <w:rPr/>
      </w:pPr>
      <w:r>
        <w:rPr>
          <w:rFonts w:eastAsia="Times New Roman" w:cs="Times New Roman" w:ascii="Yrsa" w:hAnsi="Yrsa"/>
          <w:b/>
          <w:bCs/>
          <w:i w:val="false"/>
          <w:caps w:val="false"/>
          <w:smallCaps w:val="false"/>
          <w:color w:val="000000"/>
          <w:spacing w:val="0"/>
          <w:sz w:val="50"/>
          <w:szCs w:val="50"/>
          <w:u w:val="none"/>
          <w:shd w:fill="auto" w:val="clear"/>
        </w:rPr>
        <w:t xml:space="preserve">Plan de continuité </w:t>
      </w:r>
    </w:p>
    <w:p>
      <w:pPr>
        <w:pStyle w:val="Heading1"/>
        <w:spacing w:before="176" w:after="119"/>
        <w:jc w:val="center"/>
        <w:rPr>
          <w:sz w:val="40"/>
          <w:szCs w:val="40"/>
        </w:rPr>
      </w:pPr>
      <w:r>
        <w:rPr>
          <w:rFonts w:eastAsia="Times New Roman" w:cs="Times New Roman" w:ascii="Yrsa" w:hAnsi="Yrsa"/>
          <w:b/>
          <w:bCs/>
          <w:i w:val="false"/>
          <w:caps w:val="false"/>
          <w:smallCaps w:val="false"/>
          <w:color w:val="000000"/>
          <w:spacing w:val="0"/>
          <w:sz w:val="40"/>
          <w:szCs w:val="40"/>
          <w:u w:val="none"/>
          <w:shd w:fill="auto" w:val="clear"/>
        </w:rPr>
        <w:t>(Sauvegardes et tests de restauration documentés)</w:t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Heading3"/>
        <w:jc w:val="left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1. Objectif du Document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 présent document décrit le dispositif de continuité d’activité (PCA) et de plan de reprise d’activité (PRA) mis en place par </w:t>
      </w:r>
      <w:r>
        <w:rPr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24"/>
        </w:rPr>
        <w:t>KOBO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. Il a pour but d’assurer la disponibilité, la résilience et la récupération rapide des systèmes d’information critiques en cas d’incident majeur.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Les objectifs opérationnels de ce plan sont :</w:t>
      </w:r>
    </w:p>
    <w:p>
      <w:pPr>
        <w:pStyle w:val="BodyText"/>
        <w:widowControl/>
        <w:numPr>
          <w:ilvl w:val="0"/>
          <w:numId w:val="1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Garantir la continuité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des services financiers essentiels aux utilisateurs et partenaires.</w:t>
      </w:r>
    </w:p>
    <w:p>
      <w:pPr>
        <w:pStyle w:val="BodyText"/>
        <w:widowControl/>
        <w:numPr>
          <w:ilvl w:val="0"/>
          <w:numId w:val="1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Protéger les données critiques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contre toute perte, corruption ou destruction.</w:t>
      </w:r>
    </w:p>
    <w:p>
      <w:pPr>
        <w:pStyle w:val="BodyText"/>
        <w:widowControl/>
        <w:numPr>
          <w:ilvl w:val="0"/>
          <w:numId w:val="1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Définir les mécanismes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 sauvegarde, de restauration et de reprise.</w:t>
      </w:r>
    </w:p>
    <w:p>
      <w:pPr>
        <w:pStyle w:val="BodyText"/>
        <w:widowControl/>
        <w:numPr>
          <w:ilvl w:val="0"/>
          <w:numId w:val="1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Encadrer les procédures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à suivre lors d’un sinistre.</w:t>
      </w:r>
    </w:p>
    <w:p>
      <w:pPr>
        <w:pStyle w:val="BodyText"/>
        <w:widowControl/>
        <w:numPr>
          <w:ilvl w:val="0"/>
          <w:numId w:val="1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Démontrer la capacité opérationnelle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de </w:t>
      </w:r>
      <w:r>
        <w:rPr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24"/>
        </w:rPr>
        <w:t>KOBO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 à faire face à un incident grave conformément aux attentes des partenaires bancaires et des régulateurs.</w:t>
      </w:r>
    </w:p>
    <w:p>
      <w:pPr>
        <w:pStyle w:val="Heading3"/>
        <w:widowControl/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2. Enjeux de la Continuité pour KOBO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La plateforme KOBO opère des services financiers sensibles impliquant des transactions monétaires, la gestion de portefeuilles électroniques et le traitement de données personnelles. Une indisponibilité prolongée aurait des impacts multidimensionnels :</w:t>
      </w:r>
    </w:p>
    <w:tbl>
      <w:tblPr>
        <w:tblW w:w="8857" w:type="dxa"/>
        <w:jc w:val="left"/>
        <w:tblInd w:w="195" w:type="dxa"/>
        <w:tblLayout w:type="fixed"/>
        <w:tblCellMar>
          <w:top w:w="90" w:type="dxa"/>
          <w:left w:w="195" w:type="dxa"/>
          <w:bottom w:w="90" w:type="dxa"/>
          <w:right w:w="195" w:type="dxa"/>
        </w:tblCellMar>
      </w:tblPr>
      <w:tblGrid>
        <w:gridCol w:w="2068"/>
        <w:gridCol w:w="6788"/>
      </w:tblGrid>
      <w:tr>
        <w:trPr>
          <w:tblHeader w:val="true"/>
        </w:trPr>
        <w:tc>
          <w:tcPr>
            <w:tcW w:w="206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Type d'impact</w:t>
            </w:r>
          </w:p>
        </w:tc>
        <w:tc>
          <w:tcPr>
            <w:tcW w:w="678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Conséquences potentielles</w:t>
            </w:r>
          </w:p>
        </w:tc>
      </w:tr>
      <w:tr>
        <w:trPr/>
        <w:tc>
          <w:tcPr>
            <w:tcW w:w="206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Financier</w:t>
            </w:r>
          </w:p>
        </w:tc>
        <w:tc>
          <w:tcPr>
            <w:tcW w:w="678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Pertes transactionnelles, coûts de réparation, pénalités contractuelles.</w:t>
            </w:r>
          </w:p>
        </w:tc>
      </w:tr>
      <w:tr>
        <w:trPr/>
        <w:tc>
          <w:tcPr>
            <w:tcW w:w="206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Opérationnel</w:t>
            </w:r>
          </w:p>
        </w:tc>
        <w:tc>
          <w:tcPr>
            <w:tcW w:w="678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Interruption des services clients, blocage des partenaires marchands.</w:t>
            </w:r>
          </w:p>
        </w:tc>
      </w:tr>
      <w:tr>
        <w:trPr/>
        <w:tc>
          <w:tcPr>
            <w:tcW w:w="206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Réglementaire</w:t>
            </w:r>
          </w:p>
        </w:tc>
        <w:tc>
          <w:tcPr>
            <w:tcW w:w="678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Non-respect des obligations légales, sanctions des autorités de contrôle.</w:t>
            </w:r>
          </w:p>
        </w:tc>
      </w:tr>
      <w:tr>
        <w:trPr/>
        <w:tc>
          <w:tcPr>
            <w:tcW w:w="206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Réputationnel</w:t>
            </w:r>
          </w:p>
        </w:tc>
        <w:tc>
          <w:tcPr>
            <w:tcW w:w="678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Perte de confiance des clients, atteinte à l’image de marque.</w:t>
            </w:r>
          </w:p>
        </w:tc>
      </w:tr>
    </w:tbl>
    <w:p>
      <w:pPr>
        <w:pStyle w:val="BodyText"/>
        <w:widowControl/>
        <w:suppressAutoHyphens w:val="true"/>
        <w:overflowPunct w:val="true"/>
        <w:bidi w:val="0"/>
        <w:spacing w:lineRule="auto" w:line="276" w:before="113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Conclusion 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La continuité d’activité n’est pas une option technique, mais une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exigence stratégique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pour la pérennité de </w:t>
      </w:r>
      <w:r>
        <w:rPr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24"/>
        </w:rPr>
        <w:t>KOBO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.</w:t>
      </w:r>
    </w:p>
    <w:p>
      <w:pPr>
        <w:pStyle w:val="BodyText"/>
        <w:widowControl/>
        <w:spacing w:before="0" w:after="0"/>
        <w:ind w:hanging="0" w:left="0" w:right="0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</w:r>
    </w:p>
    <w:p>
      <w:pPr>
        <w:pStyle w:val="Heading3"/>
        <w:widowControl/>
        <w:spacing w:before="0" w:after="0"/>
        <w:ind w:hanging="0" w:left="0" w:right="0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3. Périmètre du Plan de Continuité (PCA)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 PCA couvre l’ensemble des systèmes et composants jugés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critiques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pour la survie de l’activité. Sont inclus :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Applications et Services Métier :</w:t>
      </w:r>
    </w:p>
    <w:p>
      <w:pPr>
        <w:pStyle w:val="BodyText"/>
        <w:widowControl/>
        <w:numPr>
          <w:ilvl w:val="0"/>
          <w:numId w:val="2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 Backend Paiement (Core KOBO)</w:t>
      </w:r>
    </w:p>
    <w:p>
      <w:pPr>
        <w:pStyle w:val="BodyText"/>
        <w:widowControl/>
        <w:numPr>
          <w:ilvl w:val="0"/>
          <w:numId w:val="2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Les Backends Marchands et Entreprises</w:t>
      </w:r>
    </w:p>
    <w:p>
      <w:pPr>
        <w:pStyle w:val="BodyText"/>
        <w:widowControl/>
        <w:numPr>
          <w:ilvl w:val="0"/>
          <w:numId w:val="2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Les services d’authentification et de gestion des identités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Données et Infrastructures :</w:t>
      </w:r>
    </w:p>
    <w:p>
      <w:pPr>
        <w:pStyle w:val="BodyText"/>
        <w:widowControl/>
        <w:numPr>
          <w:ilvl w:val="0"/>
          <w:numId w:val="3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Les bases de données transactionnelles</w:t>
      </w:r>
    </w:p>
    <w:p>
      <w:pPr>
        <w:pStyle w:val="BodyText"/>
        <w:widowControl/>
        <w:numPr>
          <w:ilvl w:val="0"/>
          <w:numId w:val="3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Les infrastructures cloud (compute, stockage, réseau)</w:t>
      </w:r>
    </w:p>
    <w:p>
      <w:pPr>
        <w:pStyle w:val="BodyText"/>
        <w:widowControl/>
        <w:numPr>
          <w:ilvl w:val="0"/>
          <w:numId w:val="3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Les outils de supervision et d’alerte</w:t>
      </w:r>
    </w:p>
    <w:p>
      <w:pPr>
        <w:pStyle w:val="BodyText"/>
        <w:widowControl/>
        <w:numPr>
          <w:ilvl w:val="0"/>
          <w:numId w:val="3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Les intégrations avec les partenaires de paiement stratégiques</w:t>
      </w:r>
    </w:p>
    <w:p>
      <w:pPr>
        <w:pStyle w:val="Heading3"/>
        <w:widowControl/>
        <w:spacing w:before="0" w:after="0"/>
        <w:ind w:hanging="0" w:left="0" w:right="0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4. Scénarios de risques pris en compte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 plan est conçu pour répondre aux scénarios d’incidents majeurs suivants :</w:t>
      </w:r>
    </w:p>
    <w:tbl>
      <w:tblPr>
        <w:tblW w:w="9021" w:type="dxa"/>
        <w:jc w:val="left"/>
        <w:tblInd w:w="195" w:type="dxa"/>
        <w:tblLayout w:type="fixed"/>
        <w:tblCellMar>
          <w:top w:w="90" w:type="dxa"/>
          <w:left w:w="195" w:type="dxa"/>
          <w:bottom w:w="90" w:type="dxa"/>
          <w:right w:w="195" w:type="dxa"/>
        </w:tblCellMar>
      </w:tblPr>
      <w:tblGrid>
        <w:gridCol w:w="2293"/>
        <w:gridCol w:w="4087"/>
        <w:gridCol w:w="2641"/>
      </w:tblGrid>
      <w:tr>
        <w:trPr>
          <w:tblHeader w:val="true"/>
        </w:trPr>
        <w:tc>
          <w:tcPr>
            <w:tcW w:w="2293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Catégorie de risque</w:t>
            </w:r>
          </w:p>
        </w:tc>
        <w:tc>
          <w:tcPr>
            <w:tcW w:w="408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Scénarios spécifiques</w:t>
            </w:r>
          </w:p>
        </w:tc>
        <w:tc>
          <w:tcPr>
            <w:tcW w:w="2641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Impact attendu</w:t>
            </w:r>
          </w:p>
        </w:tc>
      </w:tr>
      <w:tr>
        <w:trPr/>
        <w:tc>
          <w:tcPr>
            <w:tcW w:w="2293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Technique</w:t>
            </w:r>
          </w:p>
        </w:tc>
        <w:tc>
          <w:tcPr>
            <w:tcW w:w="408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Panne majeure de l’infrastructure cloud. Défaillance ou corruption d’une base de données critique.</w:t>
            </w:r>
          </w:p>
        </w:tc>
        <w:tc>
          <w:tcPr>
            <w:tcW w:w="2641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Indisponibilité complète ou partielle des services.</w:t>
            </w:r>
          </w:p>
        </w:tc>
      </w:tr>
      <w:tr>
        <w:trPr/>
        <w:tc>
          <w:tcPr>
            <w:tcW w:w="2293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Sécurité</w:t>
            </w:r>
          </w:p>
        </w:tc>
        <w:tc>
          <w:tcPr>
            <w:tcW w:w="408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Cyberattaque par ransomware cryptant les données. Intrusion et altération malveillante des systèmes.</w:t>
            </w:r>
          </w:p>
        </w:tc>
        <w:tc>
          <w:tcPr>
            <w:tcW w:w="2641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Perte de données, indisponibilité, atteinte à l’intégrité.</w:t>
            </w:r>
          </w:p>
        </w:tc>
      </w:tr>
      <w:tr>
        <w:trPr/>
        <w:tc>
          <w:tcPr>
            <w:tcW w:w="2293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Humain / Opérationnel</w:t>
            </w:r>
          </w:p>
        </w:tc>
        <w:tc>
          <w:tcPr>
            <w:tcW w:w="408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Erreur humaine entraînant la suppression de données. Défaillance d’un partenaire technique externe critique.</w:t>
            </w:r>
          </w:p>
        </w:tc>
        <w:tc>
          <w:tcPr>
            <w:tcW w:w="2641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Perte de données, interruption de service.</w:t>
            </w:r>
          </w:p>
        </w:tc>
      </w:tr>
      <w:tr>
        <w:trPr/>
        <w:tc>
          <w:tcPr>
            <w:tcW w:w="2293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Environnemental</w:t>
            </w:r>
          </w:p>
        </w:tc>
        <w:tc>
          <w:tcPr>
            <w:tcW w:w="408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Incident réseau majeur affectant le fournisseur.</w:t>
            </w:r>
          </w:p>
        </w:tc>
        <w:tc>
          <w:tcPr>
            <w:tcW w:w="2641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Indisponibilité des accès.</w:t>
            </w:r>
          </w:p>
        </w:tc>
      </w:tr>
    </w:tbl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b w:val="false"/>
          <w:i w:val="false"/>
          <w:caps w:val="false"/>
          <w:smallCaps w:val="false"/>
          <w:color w:val="1F2328"/>
          <w:spacing w:val="0"/>
          <w:sz w:val="24"/>
        </w:rPr>
      </w:r>
    </w:p>
    <w:p>
      <w:pPr>
        <w:pStyle w:val="Heading3"/>
        <w:keepNext w:val="true"/>
        <w:keepLines/>
        <w:pageBreakBefore w:val="false"/>
        <w:widowControl/>
        <w:suppressAutoHyphens w:val="true"/>
        <w:overflowPunct w:val="true"/>
        <w:bidi w:val="0"/>
        <w:spacing w:lineRule="auto" w:line="276" w:before="0" w:after="0"/>
        <w:ind w:hanging="0" w:left="0" w:right="0"/>
        <w:jc w:val="left"/>
        <w:rPr>
          <w:rFonts w:ascii="Yrsa" w:hAnsi="Yrsa"/>
        </w:rPr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5. Principes Généraux de Continuité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 dispositif repose sur six principes fondamentaux :</w:t>
      </w:r>
    </w:p>
    <w:p>
      <w:pPr>
        <w:pStyle w:val="BodyText"/>
        <w:widowControl/>
        <w:numPr>
          <w:ilvl w:val="0"/>
          <w:numId w:val="4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Redondance: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Duplication des composants critiques (actif/actif ou actif/passif).</w:t>
      </w:r>
    </w:p>
    <w:p>
      <w:pPr>
        <w:pStyle w:val="BodyText"/>
        <w:widowControl/>
        <w:numPr>
          <w:ilvl w:val="0"/>
          <w:numId w:val="4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Sauvegarde automatique: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Processus de sauvegarde régulier, fiable et sans intervention manuelle.</w:t>
      </w:r>
    </w:p>
    <w:p>
      <w:pPr>
        <w:pStyle w:val="BodyText"/>
        <w:widowControl/>
        <w:numPr>
          <w:ilvl w:val="0"/>
          <w:numId w:val="4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Ségrégation géographique: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Stockage des sauvegardes dans un emplacement/logique distinct de la production.</w:t>
      </w:r>
    </w:p>
    <w:p>
      <w:pPr>
        <w:pStyle w:val="BodyText"/>
        <w:widowControl/>
        <w:numPr>
          <w:ilvl w:val="0"/>
          <w:numId w:val="4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Test régulier: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Vérification périodique de l’intégrité des sauvegardes et des procédures de restauration.</w:t>
      </w:r>
    </w:p>
    <w:p>
      <w:pPr>
        <w:pStyle w:val="BodyText"/>
        <w:widowControl/>
        <w:numPr>
          <w:ilvl w:val="0"/>
          <w:numId w:val="4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Documentation: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Procédures formalisées, accessibles et à jour.</w:t>
      </w:r>
    </w:p>
    <w:p>
      <w:pPr>
        <w:pStyle w:val="BodyText"/>
        <w:widowControl/>
        <w:numPr>
          <w:ilvl w:val="0"/>
          <w:numId w:val="4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Responsabilité claire: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Attribution explicite des rôles et des responsabilités en cas d’activation du plan.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</w:r>
    </w:p>
    <w:p>
      <w:pPr>
        <w:pStyle w:val="Heading3"/>
        <w:widowControl/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6. Stratégie de Sauvegarde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lineRule="auto" w:line="300" w:before="0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30"/>
          <w:szCs w:val="30"/>
        </w:rPr>
        <w:t>6.1 Objectifs de RPO &amp; RTO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Des objectifs chiffrés guident l’ensemble de la stratégie :</w:t>
      </w:r>
    </w:p>
    <w:p>
      <w:pPr>
        <w:pStyle w:val="BodyText"/>
        <w:widowControl/>
        <w:numPr>
          <w:ilvl w:val="0"/>
          <w:numId w:val="5"/>
        </w:numPr>
        <w:suppressAutoHyphens w:val="true"/>
        <w:overflowPunct w:val="true"/>
        <w:bidi w:val="0"/>
        <w:spacing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RPO (Recovery Point Objective):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La perte de données maximale tolérée est de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5 minutes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pour les données financières transactionnelles. Cela définit la fréquence minimale de sauvegarde.</w:t>
      </w:r>
    </w:p>
    <w:p>
      <w:pPr>
        <w:pStyle w:val="BodyText"/>
        <w:widowControl/>
        <w:numPr>
          <w:ilvl w:val="0"/>
          <w:numId w:val="5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RTO (Recovery Time Objective):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 temps maximal pour restaurer et remettre en service les applications critiques est de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4 heures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. Cela définit l’agressivité des moyens de restauration.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Ces objectifs sont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réévalués annuellement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en fonction de l’évolution des risques et des exigences métier.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lineRule="auto" w:line="300" w:before="0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30"/>
          <w:szCs w:val="30"/>
        </w:rPr>
        <w:t>6.2 Données Concernées par les Sauvegardes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La sauvegarde porte sur tous les actifs informationnels nécessaires à la reprise :</w:t>
      </w:r>
    </w:p>
    <w:p>
      <w:pPr>
        <w:pStyle w:val="BodyText"/>
        <w:widowControl/>
        <w:numPr>
          <w:ilvl w:val="0"/>
          <w:numId w:val="6"/>
        </w:numPr>
        <w:suppressAutoHyphens w:val="true"/>
        <w:overflowPunct w:val="true"/>
        <w:bidi w:val="0"/>
        <w:spacing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Bases de données des transactions.</w:t>
      </w:r>
    </w:p>
    <w:p>
      <w:pPr>
        <w:pStyle w:val="BodyText"/>
        <w:widowControl/>
        <w:numPr>
          <w:ilvl w:val="0"/>
          <w:numId w:val="6"/>
        </w:numPr>
        <w:suppressAutoHyphens w:val="true"/>
        <w:overflowPunct w:val="true"/>
        <w:bidi w:val="0"/>
        <w:spacing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Historiques complets des journaux d’audit et de conformité.</w:t>
      </w:r>
    </w:p>
    <w:p>
      <w:pPr>
        <w:pStyle w:val="BodyText"/>
        <w:widowControl/>
        <w:numPr>
          <w:ilvl w:val="0"/>
          <w:numId w:val="6"/>
        </w:numPr>
        <w:suppressAutoHyphens w:val="true"/>
        <w:overflowPunct w:val="true"/>
        <w:bidi w:val="0"/>
        <w:spacing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Configurations applicatives et scripts de déploiement.</w:t>
      </w:r>
    </w:p>
    <w:p>
      <w:pPr>
        <w:pStyle w:val="BodyText"/>
        <w:widowControl/>
        <w:numPr>
          <w:ilvl w:val="0"/>
          <w:numId w:val="6"/>
        </w:numPr>
        <w:suppressAutoHyphens w:val="true"/>
        <w:overflowPunct w:val="true"/>
        <w:bidi w:val="0"/>
        <w:spacing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Clés de chiffrement et certificats SSL/TLS (stockés de manière ultra-sécurisée).</w:t>
      </w:r>
    </w:p>
    <w:p>
      <w:pPr>
        <w:pStyle w:val="BodyText"/>
        <w:widowControl/>
        <w:numPr>
          <w:ilvl w:val="0"/>
          <w:numId w:val="6"/>
        </w:numPr>
        <w:suppressAutoHyphens w:val="true"/>
        <w:overflowPunct w:val="true"/>
        <w:bidi w:val="0"/>
        <w:spacing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Code source des applications critiques.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lineRule="auto" w:line="300" w:before="0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30"/>
          <w:szCs w:val="30"/>
        </w:rPr>
        <w:t>6.3 Fréquence des Sauvegardes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Une stratégie multi-niveaux est appliquée :</w:t>
      </w:r>
    </w:p>
    <w:tbl>
      <w:tblPr>
        <w:tblW w:w="9021" w:type="dxa"/>
        <w:jc w:val="left"/>
        <w:tblInd w:w="195" w:type="dxa"/>
        <w:tblLayout w:type="fixed"/>
        <w:tblCellMar>
          <w:top w:w="90" w:type="dxa"/>
          <w:left w:w="195" w:type="dxa"/>
          <w:bottom w:w="90" w:type="dxa"/>
          <w:right w:w="195" w:type="dxa"/>
        </w:tblCellMar>
      </w:tblPr>
      <w:tblGrid>
        <w:gridCol w:w="2616"/>
        <w:gridCol w:w="2173"/>
        <w:gridCol w:w="1692"/>
        <w:gridCol w:w="2539"/>
      </w:tblGrid>
      <w:tr>
        <w:trPr>
          <w:tblHeader w:val="true"/>
        </w:trPr>
        <w:tc>
          <w:tcPr>
            <w:tcW w:w="2616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Type de sauvegarde</w:t>
            </w:r>
          </w:p>
        </w:tc>
        <w:tc>
          <w:tcPr>
            <w:tcW w:w="2173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Fréquence</w:t>
            </w:r>
          </w:p>
        </w:tc>
        <w:tc>
          <w:tcPr>
            <w:tcW w:w="1692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Rétention</w:t>
            </w:r>
          </w:p>
        </w:tc>
        <w:tc>
          <w:tcPr>
            <w:tcW w:w="253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Objectif</w:t>
            </w:r>
          </w:p>
        </w:tc>
      </w:tr>
      <w:tr>
        <w:trPr/>
        <w:tc>
          <w:tcPr>
            <w:tcW w:w="2616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Sauvegarde incrémentale</w:t>
            </w:r>
          </w:p>
        </w:tc>
        <w:tc>
          <w:tcPr>
            <w:tcW w:w="2173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Toutes les 5 minutes</w:t>
            </w:r>
          </w:p>
        </w:tc>
        <w:tc>
          <w:tcPr>
            <w:tcW w:w="1692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24 heures</w:t>
            </w:r>
          </w:p>
        </w:tc>
        <w:tc>
          <w:tcPr>
            <w:tcW w:w="253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Respect du RPO court.</w:t>
            </w:r>
          </w:p>
        </w:tc>
      </w:tr>
      <w:tr>
        <w:trPr/>
        <w:tc>
          <w:tcPr>
            <w:tcW w:w="2616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Sauvegarde complète</w:t>
            </w:r>
          </w:p>
        </w:tc>
        <w:tc>
          <w:tcPr>
            <w:tcW w:w="2173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Quotidienne</w:t>
            </w:r>
          </w:p>
        </w:tc>
        <w:tc>
          <w:tcPr>
            <w:tcW w:w="1692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7 jours</w:t>
            </w:r>
          </w:p>
        </w:tc>
        <w:tc>
          <w:tcPr>
            <w:tcW w:w="253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Point de restauration journalier.</w:t>
            </w:r>
          </w:p>
        </w:tc>
      </w:tr>
      <w:tr>
        <w:trPr/>
        <w:tc>
          <w:tcPr>
            <w:tcW w:w="2616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Sauvegarde hebdomadaire</w:t>
            </w:r>
          </w:p>
        </w:tc>
        <w:tc>
          <w:tcPr>
            <w:tcW w:w="2173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Hebdomadaire (Dimanche)</w:t>
            </w:r>
          </w:p>
        </w:tc>
        <w:tc>
          <w:tcPr>
            <w:tcW w:w="1692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4 semaines</w:t>
            </w:r>
          </w:p>
        </w:tc>
        <w:tc>
          <w:tcPr>
            <w:tcW w:w="253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Point de restauration mensuel.</w:t>
            </w:r>
          </w:p>
        </w:tc>
      </w:tr>
      <w:tr>
        <w:trPr/>
        <w:tc>
          <w:tcPr>
            <w:tcW w:w="2616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Sauvegarde mensuelle</w:t>
            </w:r>
          </w:p>
        </w:tc>
        <w:tc>
          <w:tcPr>
            <w:tcW w:w="2173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Mensuelle</w:t>
            </w:r>
          </w:p>
        </w:tc>
        <w:tc>
          <w:tcPr>
            <w:tcW w:w="1692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13 mois</w:t>
            </w:r>
          </w:p>
        </w:tc>
        <w:tc>
          <w:tcPr>
            <w:tcW w:w="253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Archivage et conformité.</w:t>
            </w:r>
          </w:p>
        </w:tc>
      </w:tr>
    </w:tbl>
    <w:p>
      <w:pPr>
        <w:pStyle w:val="BodyText"/>
        <w:pageBreakBefore w:val="false"/>
        <w:widowControl/>
        <w:suppressAutoHyphens w:val="true"/>
        <w:overflowPunct w:val="true"/>
        <w:bidi w:val="0"/>
        <w:spacing w:before="170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Règle: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Aucune sauvegarde manuelle non documentée et non testée n’est autorisée.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lineRule="auto" w:line="300" w:before="0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30"/>
          <w:szCs w:val="30"/>
        </w:rPr>
        <w:t>6.4 Stockage des Sauvegardes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Les supports de sauvegarde doivent respecter la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règle du 3-2-1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:</w:t>
      </w:r>
    </w:p>
    <w:p>
      <w:pPr>
        <w:pStyle w:val="BodyText"/>
        <w:widowControl/>
        <w:numPr>
          <w:ilvl w:val="0"/>
          <w:numId w:val="7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3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copies des données.</w:t>
      </w:r>
    </w:p>
    <w:p>
      <w:pPr>
        <w:pStyle w:val="BodyText"/>
        <w:widowControl/>
        <w:numPr>
          <w:ilvl w:val="0"/>
          <w:numId w:val="7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Sur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2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supports de stockage différents (ex: disque réseau et stockage objet).</w:t>
      </w:r>
    </w:p>
    <w:p>
      <w:pPr>
        <w:pStyle w:val="BodyText"/>
        <w:widowControl/>
        <w:numPr>
          <w:ilvl w:val="0"/>
          <w:numId w:val="7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Dont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1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copie stockée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hors-site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ou dans une région cloud distincte. Les sauvegardes sont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chiffrées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(AES-256) et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isolées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en écriture (</w:t>
      </w:r>
      <w:r>
        <w:rPr>
          <w:rStyle w:val="Emphasis"/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immutable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) pour les protéger contre les suppressions ou chiffrements malveillants.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jc w:val="left"/>
        <w:rPr/>
      </w:pPr>
      <w:r>
        <w:rPr/>
      </w:r>
    </w:p>
    <w:p>
      <w:pPr>
        <w:pStyle w:val="Heading3"/>
        <w:widowControl/>
        <w:suppressAutoHyphens w:val="true"/>
        <w:overflowPunct w:val="true"/>
        <w:bidi w:val="0"/>
        <w:spacing w:before="0" w:after="0"/>
        <w:jc w:val="left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7. Sécurité des Sauvegardes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Les sauvegardes bénéficient d’un niveau de sécurité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équivalent, voire supérieur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, à celui des données de production:</w:t>
      </w:r>
    </w:p>
    <w:p>
      <w:pPr>
        <w:pStyle w:val="BodyText"/>
        <w:widowControl/>
        <w:numPr>
          <w:ilvl w:val="0"/>
          <w:numId w:val="8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Chiffrement systématique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des sauvegardes au repos.</w:t>
      </w:r>
    </w:p>
    <w:p>
      <w:pPr>
        <w:pStyle w:val="BodyText"/>
        <w:widowControl/>
        <w:numPr>
          <w:ilvl w:val="0"/>
          <w:numId w:val="8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Contrôle d’accès strict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basé sur le principe du moindre privilège (accès réservé aux administrateurs systèmes et au RSSI).</w:t>
      </w:r>
    </w:p>
    <w:p>
      <w:pPr>
        <w:pStyle w:val="BodyText"/>
        <w:widowControl/>
        <w:numPr>
          <w:ilvl w:val="0"/>
          <w:numId w:val="8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Journalisation détaillée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 tout accès, lecture ou tentative de suppression.</w:t>
      </w:r>
    </w:p>
    <w:p>
      <w:pPr>
        <w:pStyle w:val="BodyText"/>
        <w:widowControl/>
        <w:numPr>
          <w:ilvl w:val="0"/>
          <w:numId w:val="8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Gestion séparée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des clés de chiffrement des sauvegardes, confiée à une entité distincte (Key Management Service du cloud provider).</w:t>
      </w:r>
    </w:p>
    <w:p>
      <w:pPr>
        <w:pStyle w:val="Heading3"/>
        <w:keepNext w:val="true"/>
        <w:keepLines/>
        <w:pageBreakBefore w:val="false"/>
        <w:widowControl/>
        <w:suppressAutoHyphens w:val="true"/>
        <w:overflowPunct w:val="true"/>
        <w:bidi w:val="0"/>
        <w:spacing w:lineRule="auto" w:line="240" w:before="113" w:after="142"/>
        <w:ind w:hanging="0" w:left="0" w:right="0"/>
        <w:jc w:val="left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8. Procédures de Restauration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Des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Procédures Opérationnelles Permanentes (POP)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détaillent, pour chaque composant critique, les étapes précises de restauration. Chaque POP contient :</w:t>
      </w:r>
    </w:p>
    <w:p>
      <w:pPr>
        <w:pStyle w:val="BodyText"/>
        <w:widowControl/>
        <w:numPr>
          <w:ilvl w:val="0"/>
          <w:numId w:val="9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responsable technique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désigné pour l’exécuter.</w:t>
      </w:r>
    </w:p>
    <w:p>
      <w:pPr>
        <w:pStyle w:val="BodyText"/>
        <w:widowControl/>
        <w:numPr>
          <w:ilvl w:val="0"/>
          <w:numId w:val="9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La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check-list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étape par étape.</w:t>
      </w:r>
    </w:p>
    <w:p>
      <w:pPr>
        <w:pStyle w:val="BodyText"/>
        <w:widowControl/>
        <w:numPr>
          <w:ilvl w:val="0"/>
          <w:numId w:val="9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Les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commandes et scripts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à exécuter.</w:t>
      </w:r>
    </w:p>
    <w:p>
      <w:pPr>
        <w:pStyle w:val="BodyText"/>
        <w:widowControl/>
        <w:numPr>
          <w:ilvl w:val="0"/>
          <w:numId w:val="9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Les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points de validation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et les contrôles post-restauration (intégrité des données, cohérence).</w:t>
      </w:r>
    </w:p>
    <w:p>
      <w:pPr>
        <w:pStyle w:val="BodyText"/>
        <w:widowControl/>
        <w:numPr>
          <w:ilvl w:val="0"/>
          <w:numId w:val="9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La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fiche de traçabilité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à remplir pour documenter l’intervention.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Toute opération de restauration, même de test,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doit être tracée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dans le système de ticketing dédié.</w:t>
      </w:r>
    </w:p>
    <w:p>
      <w:pPr>
        <w:pStyle w:val="Heading3"/>
        <w:widowControl/>
        <w:spacing w:before="0" w:after="0"/>
        <w:ind w:hanging="0" w:left="0" w:right="0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9. Programme de tests de restauration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lineRule="auto" w:line="300" w:before="0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30"/>
          <w:szCs w:val="30"/>
        </w:rPr>
        <w:t>9.1 Objectif des tests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Les tests ne visent pas seulement à vérifier la présence de sauvegardes, mais à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valider la capacité réelle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à restaurer un service opérationnel dans les délais du RTO. Ils vérifient :</w:t>
      </w:r>
    </w:p>
    <w:p>
      <w:pPr>
        <w:pStyle w:val="BodyText"/>
        <w:widowControl/>
        <w:numPr>
          <w:ilvl w:val="0"/>
          <w:numId w:val="10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L’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intégrité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et la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cohérence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des données restaurées.</w:t>
      </w:r>
    </w:p>
    <w:p>
      <w:pPr>
        <w:pStyle w:val="BodyText"/>
        <w:widowControl/>
        <w:numPr>
          <w:ilvl w:val="0"/>
          <w:numId w:val="10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La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fiabilité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et l’exhaustivité des procédures documentées.</w:t>
      </w:r>
    </w:p>
    <w:p>
      <w:pPr>
        <w:pStyle w:val="BodyText"/>
        <w:widowControl/>
        <w:numPr>
          <w:ilvl w:val="0"/>
          <w:numId w:val="10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La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compétence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des équipes à exécuter le plan sous pression.</w:t>
      </w:r>
    </w:p>
    <w:p>
      <w:pPr>
        <w:pStyle w:val="BodyText"/>
        <w:widowControl/>
        <w:numPr>
          <w:ilvl w:val="0"/>
          <w:numId w:val="10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respect effectif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des objectifs RPO et RTO.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lineRule="auto" w:line="300" w:before="113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30"/>
          <w:szCs w:val="30"/>
        </w:rPr>
        <w:t>9.2 Fréquence et types de tests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Un calendrier de tests contraignant est défini :</w:t>
      </w:r>
    </w:p>
    <w:tbl>
      <w:tblPr>
        <w:tblW w:w="9021" w:type="dxa"/>
        <w:jc w:val="left"/>
        <w:tblInd w:w="195" w:type="dxa"/>
        <w:tblLayout w:type="fixed"/>
        <w:tblCellMar>
          <w:top w:w="90" w:type="dxa"/>
          <w:left w:w="195" w:type="dxa"/>
          <w:bottom w:w="90" w:type="dxa"/>
          <w:right w:w="195" w:type="dxa"/>
        </w:tblCellMar>
      </w:tblPr>
      <w:tblGrid>
        <w:gridCol w:w="2239"/>
        <w:gridCol w:w="1864"/>
        <w:gridCol w:w="2218"/>
        <w:gridCol w:w="2699"/>
      </w:tblGrid>
      <w:tr>
        <w:trPr>
          <w:tblHeader w:val="true"/>
        </w:trPr>
        <w:tc>
          <w:tcPr>
            <w:tcW w:w="223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Type de test</w:t>
            </w:r>
          </w:p>
        </w:tc>
        <w:tc>
          <w:tcPr>
            <w:tcW w:w="186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Fréquence</w:t>
            </w:r>
          </w:p>
        </w:tc>
        <w:tc>
          <w:tcPr>
            <w:tcW w:w="221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Périmètre</w:t>
            </w:r>
          </w:p>
        </w:tc>
        <w:tc>
          <w:tcPr>
            <w:tcW w:w="269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Objectif</w:t>
            </w:r>
          </w:p>
        </w:tc>
      </w:tr>
      <w:tr>
        <w:trPr/>
        <w:tc>
          <w:tcPr>
            <w:tcW w:w="223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Test de restauration de fichiers</w:t>
            </w:r>
          </w:p>
        </w:tc>
        <w:tc>
          <w:tcPr>
            <w:tcW w:w="186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Trimestriel</w:t>
            </w:r>
          </w:p>
        </w:tc>
        <w:tc>
          <w:tcPr>
            <w:tcW w:w="221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Échantillon de fichiers critiques.</w:t>
            </w:r>
          </w:p>
        </w:tc>
        <w:tc>
          <w:tcPr>
            <w:tcW w:w="269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Vérifier l’intégrité basique et l’accès.</w:t>
            </w:r>
          </w:p>
        </w:tc>
      </w:tr>
      <w:tr>
        <w:trPr/>
        <w:tc>
          <w:tcPr>
            <w:tcW w:w="223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Test de restauration de base de données</w:t>
            </w:r>
          </w:p>
        </w:tc>
        <w:tc>
          <w:tcPr>
            <w:tcW w:w="186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Semestriel</w:t>
            </w:r>
          </w:p>
        </w:tc>
        <w:tc>
          <w:tcPr>
            <w:tcW w:w="221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Base non critique restaurée dans un environnement isolé.</w:t>
            </w:r>
          </w:p>
        </w:tc>
        <w:tc>
          <w:tcPr>
            <w:tcW w:w="269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Vérifier la cohérence transactionnelle et les scripts SQL.</w:t>
            </w:r>
          </w:p>
        </w:tc>
      </w:tr>
      <w:tr>
        <w:trPr/>
        <w:tc>
          <w:tcPr>
            <w:tcW w:w="223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Test de restauration complète (PRA)</w:t>
            </w:r>
          </w:p>
        </w:tc>
        <w:tc>
          <w:tcPr>
            <w:tcW w:w="186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Annuel</w:t>
            </w:r>
          </w:p>
        </w:tc>
        <w:tc>
          <w:tcPr>
            <w:tcW w:w="221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Environnement de pré-production restauré à partir des sauvegardes.</w:t>
            </w:r>
          </w:p>
        </w:tc>
        <w:tc>
          <w:tcPr>
            <w:tcW w:w="269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Valider l’ensemble de la chaîne de restauration et le RTO.</w:t>
            </w:r>
          </w:p>
        </w:tc>
      </w:tr>
      <w:tr>
        <w:trPr/>
        <w:tc>
          <w:tcPr>
            <w:tcW w:w="223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Test à froid (Walkthrough)</w:t>
            </w:r>
          </w:p>
        </w:tc>
        <w:tc>
          <w:tcPr>
            <w:tcW w:w="186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Semestriel</w:t>
            </w:r>
          </w:p>
        </w:tc>
        <w:tc>
          <w:tcPr>
            <w:tcW w:w="2218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Revue de procédure en salle avec les équipes.</w:t>
            </w:r>
          </w:p>
        </w:tc>
        <w:tc>
          <w:tcPr>
            <w:tcW w:w="2699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Valider la documentation et la compréhension des rôles.</w:t>
            </w:r>
          </w:p>
        </w:tc>
      </w:tr>
    </w:tbl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Un test est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également déclenché après toute modification majeure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 l’architecture ou des processus de sauvegarde.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lineRule="auto" w:line="300" w:before="0" w:after="0"/>
        <w:ind w:hanging="0" w:left="283" w:right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9.3 Gestion des résultats et amélioration continue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Chaque test donne lieu à un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compte rendu formalisé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qui doit contenir :</w:t>
      </w:r>
    </w:p>
    <w:p>
      <w:pPr>
        <w:pStyle w:val="BodyText"/>
        <w:widowControl/>
        <w:numPr>
          <w:ilvl w:val="0"/>
          <w:numId w:val="11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La date, le périmètre et les participants.</w:t>
      </w:r>
    </w:p>
    <w:p>
      <w:pPr>
        <w:pStyle w:val="BodyText"/>
        <w:widowControl/>
        <w:numPr>
          <w:ilvl w:val="0"/>
          <w:numId w:val="11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La durée réelle de restauration vs. le RTO visé.</w:t>
      </w:r>
    </w:p>
    <w:p>
      <w:pPr>
        <w:pStyle w:val="BodyText"/>
        <w:widowControl/>
        <w:numPr>
          <w:ilvl w:val="0"/>
          <w:numId w:val="11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Les écarts, difficultés ou blocages rencontrés.</w:t>
      </w:r>
    </w:p>
    <w:p>
      <w:pPr>
        <w:pStyle w:val="BodyText"/>
        <w:widowControl/>
        <w:numPr>
          <w:ilvl w:val="0"/>
          <w:numId w:val="11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Les succès et bonnes pratiques identifiées.</w:t>
      </w:r>
    </w:p>
    <w:p>
      <w:pPr>
        <w:pStyle w:val="BodyText"/>
        <w:widowControl/>
        <w:numPr>
          <w:ilvl w:val="0"/>
          <w:numId w:val="11"/>
        </w:numPr>
        <w:suppressAutoHyphens w:val="true"/>
        <w:overflowPunct w:val="true"/>
        <w:bidi w:val="0"/>
        <w:spacing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Un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plan d’action correctif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pour chaque écart identifié, avec un responsable et un délai.</w:t>
      </w:r>
    </w:p>
    <w:p>
      <w:pPr>
        <w:pStyle w:val="Heading3"/>
        <w:widowControl/>
        <w:spacing w:before="0" w:after="140"/>
        <w:ind w:hanging="0" w:left="0" w:right="0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10. Plan de reprise d’activité (PRA) - Processus d’activation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113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 PRA est déclenché en cas d’incident majeur rendant indisponible le site de production principal. Le processus d’activation suit un enchaînement strict :</w:t>
      </w:r>
    </w:p>
    <w:p>
      <w:pPr>
        <w:pStyle w:val="BodyText"/>
        <w:widowControl/>
        <w:numPr>
          <w:ilvl w:val="0"/>
          <w:numId w:val="12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Détection &amp; qualification: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L’équipe de supervision qualifie l’incident comme "majeur" selon des critères prédéfinis (durée, impact).</w:t>
      </w:r>
    </w:p>
    <w:p>
      <w:pPr>
        <w:pStyle w:val="BodyText"/>
        <w:widowControl/>
        <w:numPr>
          <w:ilvl w:val="0"/>
          <w:numId w:val="12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Alerte &amp; escalade: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Alerte du RSSI et de la Direction technique. Confirmation de la décision d’activer le PRA par la Direction.</w:t>
      </w:r>
    </w:p>
    <w:p>
      <w:pPr>
        <w:pStyle w:val="BodyText"/>
        <w:widowControl/>
        <w:numPr>
          <w:ilvl w:val="0"/>
          <w:numId w:val="12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Activation du plan: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Mobilisation de la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Cellule de crise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. Notification des partenaires critiques selon un plan de communication préétabli.</w:t>
      </w:r>
    </w:p>
    <w:p>
      <w:pPr>
        <w:pStyle w:val="BodyText"/>
        <w:widowControl/>
        <w:numPr>
          <w:ilvl w:val="0"/>
          <w:numId w:val="12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Exécution des POPs: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Les équipes techniques exécutent les procédures de restauration des services dans l’ordre de priorité défini.</w:t>
      </w:r>
    </w:p>
    <w:p>
      <w:pPr>
        <w:pStyle w:val="BodyText"/>
        <w:widowControl/>
        <w:numPr>
          <w:ilvl w:val="0"/>
          <w:numId w:val="12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Vérification &amp; bascule: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Validation fonctionnelle et sécuritaire des services restaurés. Bascule du trafic utilisateur vers l’environnement de reprise.</w:t>
      </w:r>
    </w:p>
    <w:p>
      <w:pPr>
        <w:pStyle w:val="BodyText"/>
        <w:widowControl/>
        <w:numPr>
          <w:ilvl w:val="0"/>
          <w:numId w:val="12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Communication: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Mise à jour régulière et factuelle des parties prenantes internes et externes.</w:t>
      </w:r>
    </w:p>
    <w:p>
      <w:pPr>
        <w:pStyle w:val="BodyText"/>
        <w:widowControl/>
        <w:numPr>
          <w:ilvl w:val="0"/>
          <w:numId w:val="12"/>
        </w:numPr>
        <w:suppressAutoHyphens w:val="true"/>
        <w:overflowPunct w:val="true"/>
        <w:bidi w:val="0"/>
        <w:spacing w:lineRule="auto" w:line="276" w:before="0" w:after="17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Retour à la normal: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Une fois la cause racine éradiquée sur le site principal, planification et exécution d’un retour contrôlé.</w:t>
      </w:r>
    </w:p>
    <w:p>
      <w:pPr>
        <w:pStyle w:val="Heading3"/>
        <w:widowControl/>
        <w:spacing w:lineRule="auto" w:line="300" w:before="0" w:after="0"/>
        <w:ind w:hanging="0" w:left="0" w:right="0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11. Organisation et responsabilités en cas de crise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Une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Cellule de crise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est activée lors du déclenchement du PRA. Ses membres et rôles sont prédéfinis :</w:t>
      </w:r>
    </w:p>
    <w:tbl>
      <w:tblPr>
        <w:tblW w:w="9026" w:type="dxa"/>
        <w:jc w:val="left"/>
        <w:tblInd w:w="195" w:type="dxa"/>
        <w:tblLayout w:type="fixed"/>
        <w:tblCellMar>
          <w:top w:w="90" w:type="dxa"/>
          <w:left w:w="195" w:type="dxa"/>
          <w:bottom w:w="90" w:type="dxa"/>
          <w:right w:w="195" w:type="dxa"/>
        </w:tblCellMar>
      </w:tblPr>
      <w:tblGrid>
        <w:gridCol w:w="2295"/>
        <w:gridCol w:w="2337"/>
        <w:gridCol w:w="4394"/>
      </w:tblGrid>
      <w:tr>
        <w:trPr>
          <w:tblHeader w:val="true"/>
        </w:trPr>
        <w:tc>
          <w:tcPr>
            <w:tcW w:w="2295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Rôle</w:t>
            </w:r>
          </w:p>
        </w:tc>
        <w:tc>
          <w:tcPr>
            <w:tcW w:w="233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Responsable</w:t>
            </w:r>
          </w:p>
        </w:tc>
        <w:tc>
          <w:tcPr>
            <w:tcW w:w="439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Titre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  <w:b/>
              </w:rPr>
            </w:pPr>
            <w:r>
              <w:rPr>
                <w:rFonts w:ascii="Yrsa" w:hAnsi="Yrsa"/>
                <w:b/>
              </w:rPr>
              <w:t>Missions Principales</w:t>
            </w:r>
          </w:p>
        </w:tc>
      </w:tr>
      <w:tr>
        <w:trPr/>
        <w:tc>
          <w:tcPr>
            <w:tcW w:w="2295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Directeur de la Crise</w:t>
            </w:r>
          </w:p>
        </w:tc>
        <w:tc>
          <w:tcPr>
            <w:tcW w:w="233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Directeur Général / DSI</w:t>
            </w:r>
          </w:p>
        </w:tc>
        <w:tc>
          <w:tcPr>
            <w:tcW w:w="439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Autoriser l’activation du PRA. Prendre les décisions stratégiques. Garant de la communication externe.</w:t>
            </w:r>
          </w:p>
        </w:tc>
      </w:tr>
      <w:tr>
        <w:trPr/>
        <w:tc>
          <w:tcPr>
            <w:tcW w:w="2295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Chef des Opérations Techniques</w:t>
            </w:r>
          </w:p>
        </w:tc>
        <w:tc>
          <w:tcPr>
            <w:tcW w:w="233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RSSI / Lead DevSecOps</w:t>
            </w:r>
          </w:p>
        </w:tc>
        <w:tc>
          <w:tcPr>
            <w:tcW w:w="439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Piloter l’exécution technique du PRA. Coordonner les équipes. Rendre compte de l’avancement.</w:t>
            </w:r>
          </w:p>
        </w:tc>
      </w:tr>
      <w:tr>
        <w:trPr/>
        <w:tc>
          <w:tcPr>
            <w:tcW w:w="2295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Équipe de Restauration</w:t>
            </w:r>
          </w:p>
        </w:tc>
        <w:tc>
          <w:tcPr>
            <w:tcW w:w="233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Ingénieurs Système &amp; Base de Données</w:t>
            </w:r>
          </w:p>
        </w:tc>
        <w:tc>
          <w:tcPr>
            <w:tcW w:w="439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Exécuter les procédures de restauration des infrastructures et des données.</w:t>
            </w:r>
          </w:p>
        </w:tc>
      </w:tr>
      <w:tr>
        <w:trPr/>
        <w:tc>
          <w:tcPr>
            <w:tcW w:w="2295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Équipe de Validation</w:t>
            </w:r>
          </w:p>
        </w:tc>
        <w:tc>
          <w:tcPr>
            <w:tcW w:w="233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Chefs de Produit / QA</w:t>
            </w:r>
          </w:p>
        </w:tc>
        <w:tc>
          <w:tcPr>
            <w:tcW w:w="439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6F8FA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Tester et valider fonctionnellement les services restaurés avant la remise en production.</w:t>
            </w:r>
          </w:p>
        </w:tc>
      </w:tr>
      <w:tr>
        <w:trPr/>
        <w:tc>
          <w:tcPr>
            <w:tcW w:w="2295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 w:before="0" w:after="0"/>
              <w:ind w:hanging="0" w:left="283" w:right="0"/>
              <w:jc w:val="left"/>
              <w:rPr/>
            </w:pPr>
            <w:r>
              <w:rPr>
                <w:rStyle w:val="Strong"/>
                <w:rFonts w:ascii="Yrsa" w:hAnsi="Yrsa"/>
                <w:b/>
              </w:rPr>
              <w:t>Support Communication</w:t>
            </w:r>
          </w:p>
        </w:tc>
        <w:tc>
          <w:tcPr>
            <w:tcW w:w="2337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Responsable Communication / Legal</w:t>
            </w:r>
          </w:p>
        </w:tc>
        <w:tc>
          <w:tcPr>
            <w:tcW w:w="4394" w:type="dxa"/>
            <w:tcBorders>
              <w:top w:val="single" w:sz="2" w:space="0" w:color="D1D9E0"/>
              <w:left w:val="single" w:sz="2" w:space="0" w:color="D1D9E0"/>
              <w:bottom w:val="single" w:sz="2" w:space="0" w:color="D1D9E0"/>
              <w:right w:val="single" w:sz="2" w:space="0" w:color="D1D9E0"/>
            </w:tcBorders>
            <w:shd w:fill="FFFFFF" w:val="clear"/>
            <w:vAlign w:val="center"/>
          </w:tcPr>
          <w:p>
            <w:pPr>
              <w:pStyle w:val="Contenudetableau"/>
              <w:suppressAutoHyphens w:val="true"/>
              <w:overflowPunct w:val="true"/>
              <w:bidi w:val="0"/>
              <w:spacing w:lineRule="auto" w:line="276"/>
              <w:ind w:hanging="0" w:left="283" w:right="0"/>
              <w:jc w:val="left"/>
              <w:rPr>
                <w:rFonts w:ascii="Yrsa" w:hAnsi="Yrsa"/>
              </w:rPr>
            </w:pPr>
            <w:r>
              <w:rPr>
                <w:rFonts w:ascii="Yrsa" w:hAnsi="Yrsa"/>
              </w:rPr>
              <w:t>Gérer la communication interne et externe (clients, partenaires), en coordination avec le Directeur de crise.</w:t>
            </w:r>
          </w:p>
        </w:tc>
      </w:tr>
    </w:tbl>
    <w:p>
      <w:pPr>
        <w:pStyle w:val="BodyText"/>
        <w:widowControl/>
        <w:suppressAutoHyphens w:val="true"/>
        <w:overflowPunct w:val="true"/>
        <w:bidi w:val="0"/>
        <w:spacing w:lineRule="auto" w:line="276" w:before="0" w:after="140"/>
        <w:ind w:hanging="0" w:left="0" w:right="0"/>
        <w:jc w:val="left"/>
        <w:rPr/>
      </w:pPr>
      <w:r>
        <w:rPr>
          <w:rFonts w:ascii="Yrsa" w:hAnsi="Yrsa"/>
        </w:rPr>
        <w:br/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34"/>
          <w:szCs w:val="34"/>
        </w:rPr>
        <w:t>12. Documentation et traçabilité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Tous les éléments du dispositif de continuité sont documentés et versionnés dans le référentiel dédié de KOBO :</w:t>
      </w:r>
    </w:p>
    <w:p>
      <w:pPr>
        <w:pStyle w:val="BodyText"/>
        <w:widowControl/>
        <w:numPr>
          <w:ilvl w:val="0"/>
          <w:numId w:val="13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 présent plan PCA/PRA.</w:t>
      </w:r>
    </w:p>
    <w:p>
      <w:pPr>
        <w:pStyle w:val="BodyText"/>
        <w:widowControl/>
        <w:numPr>
          <w:ilvl w:val="0"/>
          <w:numId w:val="13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Les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Procédures Opérationnelles Permanentes (POP)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de restauration.</w:t>
      </w:r>
    </w:p>
    <w:p>
      <w:pPr>
        <w:pStyle w:val="BodyText"/>
        <w:widowControl/>
        <w:numPr>
          <w:ilvl w:val="0"/>
          <w:numId w:val="13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Les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comptes rendus de tests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et plans d’action associés.</w:t>
      </w:r>
    </w:p>
    <w:p>
      <w:pPr>
        <w:pStyle w:val="BodyText"/>
        <w:widowControl/>
        <w:numPr>
          <w:ilvl w:val="0"/>
          <w:numId w:val="13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Les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fiches d’incident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et retours d’expérience post-activation.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57"/>
        <w:ind w:hanging="0" w:left="283" w:right="0"/>
        <w:jc w:val="left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Cette documentation est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accessible hors-ligne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à l’ensemble des membres de la cellule de crise et fait l’objet d’une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revue formelle annuelle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.</w:t>
      </w:r>
    </w:p>
    <w:p>
      <w:pPr>
        <w:pStyle w:val="Heading3"/>
        <w:widowControl/>
        <w:spacing w:lineRule="auto" w:line="300" w:before="0" w:after="0"/>
        <w:ind w:hanging="0" w:left="0" w:right="0"/>
        <w:rPr/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13. Amélioration continue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Le dispositif PCA/PRA n’est pas statique. Il fait l’objet d’un cycle d’amélioration continue :</w:t>
      </w:r>
    </w:p>
    <w:p>
      <w:pPr>
        <w:pStyle w:val="BodyText"/>
        <w:widowControl/>
        <w:numPr>
          <w:ilvl w:val="0"/>
          <w:numId w:val="14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Revue annuelle formelle: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Réévaluation des risques, des RPO/RTO et de l’adéquation de la stratégie.</w:t>
      </w:r>
    </w:p>
    <w:p>
      <w:pPr>
        <w:pStyle w:val="BodyText"/>
        <w:widowControl/>
        <w:numPr>
          <w:ilvl w:val="0"/>
          <w:numId w:val="14"/>
        </w:numPr>
        <w:suppressAutoHyphens w:val="true"/>
        <w:overflowPunct w:val="true"/>
        <w:bidi w:val="0"/>
        <w:spacing w:lineRule="auto" w:line="276" w:before="0" w:after="0"/>
        <w:jc w:val="left"/>
        <w:rPr>
          <w:rFonts w:ascii="Yrsa" w:hAnsi="Yrsa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Mise à jour après chaque test ou incident: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Intégration des apprentissages et correction des faiblesses identifiées.</w:t>
      </w:r>
    </w:p>
    <w:p>
      <w:pPr>
        <w:pStyle w:val="BodyText"/>
        <w:widowControl/>
        <w:numPr>
          <w:ilvl w:val="0"/>
          <w:numId w:val="14"/>
        </w:numPr>
        <w:suppressAutoHyphens w:val="true"/>
        <w:overflowPunct w:val="true"/>
        <w:bidi w:val="0"/>
        <w:spacing w:lineRule="auto" w:line="276" w:before="0" w:after="0"/>
        <w:jc w:val="left"/>
        <w:rPr/>
      </w:pP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 xml:space="preserve">Benchmark régulier: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Veille sur les meilleures pratiques du secteur </w:t>
      </w:r>
      <w:r>
        <w:rPr>
          <w:rStyle w:val="Emphasis"/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fintech 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et de la réglementation.</w:t>
      </w:r>
    </w:p>
    <w:p>
      <w:pPr>
        <w:pStyle w:val="Heading3"/>
        <w:widowControl/>
        <w:spacing w:before="0" w:after="140"/>
        <w:ind w:hanging="0" w:left="0" w:right="0"/>
        <w:rPr>
          <w:rFonts w:ascii="apple-system;BlinkMacSystemFont;Segoe UI;Noto Sans;Helvetica;Arial;sans-serif;Apple Color Emoji;Segoe UI Emoji" w:hAnsi="apple-system;BlinkMacSystemFont;Segoe UI;Noto Sans;Helvetica;Arial;sans-serif;Apple Color Emoji;Segoe UI Emoji"/>
          <w:b w:val="false"/>
          <w:i w:val="false"/>
          <w:i w:val="false"/>
          <w:caps w:val="false"/>
          <w:smallCaps w:val="false"/>
          <w:color w:val="1F2328"/>
          <w:spacing w:val="0"/>
          <w:sz w:val="24"/>
        </w:rPr>
      </w:pPr>
      <w:r>
        <w:rPr>
          <w:rStyle w:val="Strong"/>
          <w:rFonts w:ascii="Yrsa" w:hAnsi="Yrsa"/>
          <w:b/>
          <w:bCs/>
          <w:i w:val="false"/>
          <w:caps w:val="false"/>
          <w:smallCaps w:val="false"/>
          <w:color w:val="1F2328"/>
          <w:spacing w:val="0"/>
          <w:sz w:val="34"/>
          <w:szCs w:val="34"/>
        </w:rPr>
        <w:t>Conclusion</w:t>
      </w:r>
    </w:p>
    <w:p>
      <w:pPr>
        <w:pStyle w:val="BodyText"/>
        <w:widowControl/>
        <w:spacing w:before="0" w:after="0"/>
        <w:ind w:hanging="0" w:left="0" w:right="0"/>
        <w:rPr/>
      </w:pP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Le Plan de Continuité d’Activité de KOBO constitue la garantie opérationnelle de sa résilience face aux incidents majeurs. Grâce à une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stratégie de sauvegarde robuste et automatisée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, des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procédures de restauration documentées et testées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 xml:space="preserve">, et une </w:t>
      </w:r>
      <w:r>
        <w:rPr>
          <w:rStyle w:val="Strong"/>
          <w:rFonts w:ascii="Yrsa" w:hAnsi="Yrsa"/>
          <w:b/>
          <w:i w:val="false"/>
          <w:caps w:val="false"/>
          <w:smallCaps w:val="false"/>
          <w:color w:val="1F2328"/>
          <w:spacing w:val="0"/>
          <w:sz w:val="24"/>
        </w:rPr>
        <w:t>organisation de crise claire</w:t>
      </w:r>
      <w:r>
        <w:rPr>
          <w:rFonts w:ascii="Yrsa" w:hAnsi="Yrsa"/>
          <w:b w:val="false"/>
          <w:i w:val="false"/>
          <w:caps w:val="false"/>
          <w:smallCaps w:val="false"/>
          <w:color w:val="1F2328"/>
          <w:spacing w:val="0"/>
          <w:sz w:val="24"/>
        </w:rPr>
        <w:t>, KOBO s’engage à protéger les données de ses clients et à assurer la continuité de ses services financiers critiques.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1417" w:bottom="202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Yrsa">
    <w:charset w:val="01"/>
    <w:family w:val="roman"/>
    <w:pitch w:val="variable"/>
  </w:font>
  <w:font w:name="apple-system">
    <w:altName w:val="BlinkMacSystemFont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0" w:name="PageNumWizard_FOOTER_Style_de_page_par_d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1" w:name="PageNumWizard_FOOTER_Style_de_page_par_d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  <w:bookmarkEnd w:id="1"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9">
          <wp:simplePos x="0" y="0"/>
          <wp:positionH relativeFrom="column">
            <wp:posOffset>-508000</wp:posOffset>
          </wp:positionH>
          <wp:positionV relativeFrom="paragraph">
            <wp:posOffset>-187325</wp:posOffset>
          </wp:positionV>
          <wp:extent cx="6812280" cy="428625"/>
          <wp:effectExtent l="0" t="0" r="0" b="0"/>
          <wp:wrapSquare wrapText="bothSides"/>
          <wp:docPr id="1" name="image2.png Copi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 Copi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228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9">
          <wp:simplePos x="0" y="0"/>
          <wp:positionH relativeFrom="column">
            <wp:posOffset>-508000</wp:posOffset>
          </wp:positionH>
          <wp:positionV relativeFrom="paragraph">
            <wp:posOffset>-187325</wp:posOffset>
          </wp:positionV>
          <wp:extent cx="6812280" cy="428625"/>
          <wp:effectExtent l="0" t="0" r="0" b="0"/>
          <wp:wrapSquare wrapText="bothSides"/>
          <wp:docPr id="2" name="image2.png Copi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 Copi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228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/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/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  <w:rPr/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  <w:rPr/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  <w:rPr/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  <w:rPr/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  <w:rPr/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  <w:rPr/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62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fr-FR" w:eastAsia="en-US" w:bidi="ar-SA"/>
      <w14:ligatures w14:val="standardContextual"/>
    </w:rPr>
  </w:style>
  <w:style w:type="paragraph" w:styleId="Heading1">
    <w:name w:val="Heading 1"/>
    <w:basedOn w:val="Normal"/>
    <w:link w:val="Titre1Car"/>
    <w:uiPriority w:val="9"/>
    <w:qFormat/>
    <w:rsid w:val="00a43c7e"/>
    <w:pPr>
      <w:spacing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fr-FR"/>
      <w14:ligatures w14:val="none"/>
    </w:rPr>
  </w:style>
  <w:style w:type="paragraph" w:styleId="Heading2">
    <w:name w:val="Heading 2"/>
    <w:basedOn w:val="Normal"/>
    <w:link w:val="Titre2Car"/>
    <w:uiPriority w:val="9"/>
    <w:qFormat/>
    <w:rsid w:val="00a43c7e"/>
    <w:pPr>
      <w:spacing w:beforeAutospacing="1" w:afterAutospacing="1"/>
      <w:outlineLvl w:val="1"/>
    </w:pPr>
    <w:rPr>
      <w:rFonts w:ascii="Times New Roman" w:hAnsi="Times New Roman" w:eastAsia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Heading3">
    <w:name w:val="Heading 3"/>
    <w:basedOn w:val="Normal"/>
    <w:link w:val="Titre3Car"/>
    <w:uiPriority w:val="9"/>
    <w:qFormat/>
    <w:rsid w:val="00a43c7e"/>
    <w:pPr>
      <w:spacing w:beforeAutospacing="1" w:afterAutospacing="1"/>
      <w:outlineLvl w:val="2"/>
    </w:pPr>
    <w:rPr>
      <w:rFonts w:ascii="Times New Roman" w:hAnsi="Times New Roman" w:eastAsia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a43c7e"/>
    <w:rPr>
      <w:rFonts w:ascii="Times New Roman" w:hAnsi="Times New Roman" w:eastAsia="Times New Roman" w:cs="Times New Roman"/>
      <w:b/>
      <w:bCs/>
      <w:kern w:val="2"/>
      <w:sz w:val="48"/>
      <w:szCs w:val="48"/>
      <w:lang w:eastAsia="fr-FR"/>
      <w14:ligatures w14:val="none"/>
    </w:rPr>
  </w:style>
  <w:style w:type="character" w:styleId="Titre2Car" w:customStyle="1">
    <w:name w:val="Titre 2 Car"/>
    <w:basedOn w:val="DefaultParagraphFont"/>
    <w:uiPriority w:val="9"/>
    <w:qFormat/>
    <w:rsid w:val="00a43c7e"/>
    <w:rPr>
      <w:rFonts w:ascii="Times New Roman" w:hAnsi="Times New Roman" w:eastAsia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styleId="Titre3Car" w:customStyle="1">
    <w:name w:val="Titre 3 Car"/>
    <w:basedOn w:val="DefaultParagraphFont"/>
    <w:uiPriority w:val="9"/>
    <w:qFormat/>
    <w:rsid w:val="00a43c7e"/>
    <w:rPr>
      <w:rFonts w:ascii="Times New Roman" w:hAnsi="Times New Roman" w:eastAsia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Strong">
    <w:name w:val="Strong"/>
    <w:basedOn w:val="DefaultParagraphFont"/>
    <w:uiPriority w:val="22"/>
    <w:qFormat/>
    <w:rsid w:val="00a43c7e"/>
    <w:rPr>
      <w:b/>
      <w:bCs/>
    </w:rPr>
  </w:style>
  <w:style w:type="character" w:styleId="En-tteCar" w:customStyle="1">
    <w:name w:val="En-tête Car"/>
    <w:basedOn w:val="DefaultParagraphFont"/>
    <w:uiPriority w:val="99"/>
    <w:qFormat/>
    <w:rsid w:val="00df1bb1"/>
    <w:rPr/>
  </w:style>
  <w:style w:type="character" w:styleId="PieddepageCar" w:customStyle="1">
    <w:name w:val="Pied de page Car"/>
    <w:basedOn w:val="DefaultParagraphFont"/>
    <w:uiPriority w:val="99"/>
    <w:qFormat/>
    <w:rsid w:val="00df1bb1"/>
    <w:rPr/>
  </w:style>
  <w:style w:type="character" w:styleId="Caractresdenumrotation">
    <w:name w:val="Caractères de numérotation"/>
    <w:qFormat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a43c7e"/>
    <w:pPr>
      <w:spacing w:beforeAutospacing="1" w:afterAutospacing="1"/>
    </w:pPr>
    <w:rPr>
      <w:rFonts w:ascii="Times New Roman" w:hAnsi="Times New Roman" w:eastAsia="Times New Roman" w:cs="Times New Roman"/>
      <w:kern w:val="0"/>
      <w:lang w:eastAsia="fr-FR"/>
      <w14:ligatures w14:val="none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df1bb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uiPriority w:val="99"/>
    <w:unhideWhenUsed/>
    <w:rsid w:val="00df1bb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rmal1">
    <w:name w:val="normal1"/>
    <w:qFormat/>
    <w:pPr>
      <w:widowControl/>
      <w:suppressAutoHyphens w:val="true"/>
      <w:overflowPunct w:val="fals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fr-FR" w:eastAsia="zh-CN" w:bidi="hi-IN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Application>LibreOffice/24.2.7.2$Linux_X86_64 LibreOffice_project/420$Build-2</Application>
  <AppVersion>15.0000</AppVersion>
  <Pages>8</Pages>
  <Words>1697</Words>
  <Characters>10145</Characters>
  <CharactersWithSpaces>11584</CharactersWithSpaces>
  <Paragraphs>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2026-02-12T14:54:00Z</dcterms:created>
  <dc:creator>pro</dc:creator>
  <dc:description/>
  <dc:language>fr-FR</dc:language>
  <cp:lastModifiedBy/>
  <dcterms:modified xsi:type="dcterms:W3CDTF">2026-02-21T13:37:37Z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