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A30C9" w14:textId="77777777" w:rsidR="00AF659E" w:rsidRDefault="00AF659E">
      <w:pPr>
        <w:pStyle w:val="Heading1"/>
        <w:rPr>
          <w:rFonts w:eastAsia="Times New Roman"/>
          <w:kern w:val="36"/>
          <w:sz w:val="48"/>
          <w:szCs w:val="48"/>
          <w14:ligatures w14:val="none"/>
        </w:rPr>
      </w:pPr>
      <w:r>
        <w:rPr>
          <w:rFonts w:eastAsia="Times New Roman"/>
        </w:rPr>
        <w:t>Chapitre 3 : Proposition d'une Approche Hybride PKI-MPC-ZKP pour l'Amélioration de l'Authentification dans les Systèmes Cloud</w:t>
      </w:r>
    </w:p>
    <w:p w14:paraId="104E4C64" w14:textId="77777777" w:rsidR="00AF659E" w:rsidRDefault="00AF659E">
      <w:pPr>
        <w:pStyle w:val="Heading2"/>
        <w:rPr>
          <w:rFonts w:eastAsia="Times New Roman"/>
        </w:rPr>
      </w:pPr>
      <w:r>
        <w:rPr>
          <w:rFonts w:eastAsia="Times New Roman"/>
        </w:rPr>
        <w:t>Introduction du Chapitre</w:t>
      </w:r>
    </w:p>
    <w:p w14:paraId="26D542BD" w14:textId="77777777" w:rsidR="00AF659E" w:rsidRDefault="00AF659E">
      <w:pPr>
        <w:pStyle w:val="NormalWeb"/>
      </w:pPr>
      <w:r>
        <w:t>Ce chapitre présente le cœur de notre contribution scientifique : une architecture hybride innovante qui combine les Infrastructure à Clés Publiques (PKI), le Calcul Multi-parties (MPC) et les Preuves à Divulgation Nulle (ZKP) pour révolutionner l'authentification dans les environnements cloud. Face aux limites inhérentes de la PKI traditionnelle, notamment le problème du point de défaillance unique des Autorités de Certification et les vulnérabilités liées à la centralisation, cette approche hybride propose une redistribution fondamentale de la confiance cryptographique.</w:t>
      </w:r>
    </w:p>
    <w:p w14:paraId="5E6E1F28" w14:textId="77777777" w:rsidR="00AF659E" w:rsidRDefault="00AF659E">
      <w:pPr>
        <w:pStyle w:val="NormalWeb"/>
      </w:pPr>
      <w:r>
        <w:t>L'objectif principal de ce chapitre est de démontrer comment l'intégration synergique de ces trois technologies peut transformer un modèle de sécurité centralisé en une architecture distribuée robuste, préservant la compatibilité avec les standards existants tout en renforçant significativement la sécurité. Nous explorerons d'abord la conception conceptuelle de la solution, puis détaillerons son architecture technique, ses mécanismes de fonctionnement, et enfin présenterons une implémentation expérimentale validant sa faisabilité.</w:t>
      </w:r>
    </w:p>
    <w:p w14:paraId="41AE1AD9" w14:textId="77777777" w:rsidR="00AF659E" w:rsidRDefault="00AF659E">
      <w:pPr>
        <w:pStyle w:val="Heading2"/>
        <w:rPr>
          <w:rFonts w:eastAsia="Times New Roman"/>
        </w:rPr>
      </w:pPr>
      <w:r>
        <w:rPr>
          <w:rFonts w:eastAsia="Times New Roman"/>
        </w:rPr>
        <w:t>3.1 Présentation Générale de la Solution Proposée</w:t>
      </w:r>
    </w:p>
    <w:p w14:paraId="4F48BE17" w14:textId="77777777" w:rsidR="00AF659E" w:rsidRDefault="00AF659E">
      <w:pPr>
        <w:pStyle w:val="Heading3"/>
        <w:rPr>
          <w:rFonts w:eastAsia="Times New Roman"/>
        </w:rPr>
      </w:pPr>
      <w:r>
        <w:rPr>
          <w:rFonts w:eastAsia="Times New Roman"/>
        </w:rPr>
        <w:t>3.1.1 Contexte et Motivation</w:t>
      </w:r>
    </w:p>
    <w:p w14:paraId="34B1483B" w14:textId="77777777" w:rsidR="00AF659E" w:rsidRDefault="00AF659E">
      <w:pPr>
        <w:pStyle w:val="NormalWeb"/>
      </w:pPr>
      <w:r>
        <w:t>L'Infrastructure à Clés Publiques traditionnelle, bien qu'étant le fondement de la confiance numérique moderne, présente des vulnérabilités structurelles particulièrement préoccupantes dans les environnements cloud dynamiques. Ces vulnérabilités s'articulent autour de trois axes principaux : la centralisation excessive des opérations cryptographiques critiques, l'exposition des clés privées sensibles à des points de défaillance uniques, et l'inadéquation des mécanismes de révocation face aux exigences de scalabilité du cloud.</w:t>
      </w:r>
    </w:p>
    <w:p w14:paraId="102CCB0A" w14:textId="77777777" w:rsidR="00AF659E" w:rsidRDefault="00AF659E">
      <w:pPr>
        <w:pStyle w:val="NormalWeb"/>
      </w:pPr>
      <w:r>
        <w:t>Les récentes attaques contre des Autorités de Certification majeures, telles que celles subies par DigiNotar en 2011 et Comodo en 2011, ont illustré de manière dramatique les conséquences catastrophiques de la compromission d'une CA centralisée. Ces incidents ont affecté des millions d'utilisateurs et ont remis en question la viabilité à long terme du modèle PKI traditionnel (Soghoian &amp; Stamm, 2012).</w:t>
      </w:r>
    </w:p>
    <w:p w14:paraId="2175FCAD" w14:textId="77777777" w:rsidR="00AF659E" w:rsidRDefault="00AF659E">
      <w:pPr>
        <w:pStyle w:val="NormalWeb"/>
      </w:pPr>
      <w:r>
        <w:t>Dans le contexte spécifique des environnements cloud, ces vulnérabilités sont amplifiées par plusieurs facteurs. D'abord, la nature distribuée et dynamique des services cloud exige une gestion des identités et des certificats à une échelle sans précédent. Ensuite, l'hétérogénéité des environnements cloud - combinant infrastructures publiques, privées et hybrides - complique la mise en place de mécanismes de confiance cohérents. Enfin, l'évolution rapide des menaces de sécurité, notamment avec l'émergence de l'informatique quantique, nécessite une architecture capable d'adaptation rapide.</w:t>
      </w:r>
    </w:p>
    <w:p w14:paraId="466B3B9C" w14:textId="77777777" w:rsidR="00AF659E" w:rsidRDefault="00AF659E">
      <w:pPr>
        <w:pStyle w:val="Heading3"/>
        <w:rPr>
          <w:rFonts w:eastAsia="Times New Roman"/>
        </w:rPr>
      </w:pPr>
      <w:r>
        <w:rPr>
          <w:rFonts w:eastAsia="Times New Roman"/>
        </w:rPr>
        <w:lastRenderedPageBreak/>
        <w:t>3.1.2 Vision Architecturale de la Solution Hybride</w:t>
      </w:r>
    </w:p>
    <w:p w14:paraId="1ADAA372" w14:textId="77777777" w:rsidR="00AF659E" w:rsidRDefault="00AF659E">
      <w:pPr>
        <w:pStyle w:val="NormalWeb"/>
      </w:pPr>
      <w:r>
        <w:t>Notre approche propose une transformation paradigmatique du modèle PKI traditionnel en introduisant une architecture hybride PKI-MPC-ZKP. Cette architecture redistribue les opérations cryptographiques critiques à travers un réseau de serveurs MPC collaboratifs, tout en utilisant les ZKP pour garantir la confidentialité et la vérifiabilité des processus.</w:t>
      </w:r>
    </w:p>
    <w:p w14:paraId="50BD02BD" w14:textId="77777777" w:rsidR="00AF659E" w:rsidRDefault="00AF659E">
      <w:pPr>
        <w:pStyle w:val="NormalWeb"/>
      </w:pPr>
      <w:r>
        <w:t>L'innovation fondamentale réside dans le concept de "clé fantôme" : la clé privée de l'Autorité de Certification n'existe jamais dans sa forme complète en un seul endroit. Au lieu de cela, elle est mathématiquement distribuée sous forme de fragments cryptographiques à travers un cluster de serveurs MPC indépendants. Cette approche élimine le point de défaillance unique tout en maintenant la capacité d'effectuer des opérations cryptographiques complexes.</w:t>
      </w:r>
    </w:p>
    <w:p w14:paraId="7E1EDA95" w14:textId="77777777" w:rsidR="00AF659E" w:rsidRDefault="00AF659E">
      <w:pPr>
        <w:pStyle w:val="Heading3"/>
        <w:rPr>
          <w:rFonts w:eastAsia="Times New Roman"/>
        </w:rPr>
      </w:pPr>
      <w:r>
        <w:rPr>
          <w:rFonts w:eastAsia="Times New Roman"/>
        </w:rPr>
        <w:t>3.1.3 Architecture Générale du Système</w:t>
      </w:r>
    </w:p>
    <w:p w14:paraId="00B482BD" w14:textId="77777777" w:rsidR="00AF659E" w:rsidRDefault="00AF659E">
      <w:pPr>
        <w:pStyle w:val="NormalWeb"/>
      </w:pPr>
      <w:r>
        <w:t>L'architecture proposée s'articule autour de cinq composants principaux interconnectés dans une topologie distribuée soigneusement orchestrée.</w:t>
      </w:r>
    </w:p>
    <w:p w14:paraId="280842D6" w14:textId="77777777" w:rsidR="00AF659E" w:rsidRDefault="00AF659E">
      <w:pPr>
        <w:pStyle w:val="Heading4"/>
        <w:rPr>
          <w:rFonts w:eastAsia="Times New Roman"/>
        </w:rPr>
      </w:pPr>
      <w:r>
        <w:rPr>
          <w:rFonts w:eastAsia="Times New Roman"/>
        </w:rPr>
        <w:t>Composants Principaux</w:t>
      </w:r>
    </w:p>
    <w:p w14:paraId="5FF8CBBB" w14:textId="77777777" w:rsidR="00AF659E" w:rsidRDefault="00AF659E">
      <w:pPr>
        <w:pStyle w:val="NormalWeb"/>
      </w:pPr>
      <w:r>
        <w:rPr>
          <w:rStyle w:val="Strong"/>
        </w:rPr>
        <w:t>Autorité de Certification Augmentée (Enhanced CA)</w:t>
      </w:r>
      <w:r>
        <w:t xml:space="preserve"> L'Autorité de Certification traditionnelle évolue vers un rôle d'orchestrateur cryptographique. Elle conserve ses responsabilités fondamentales de vérification d'identité et de gestion des politiques de certificats, mais délègue les opérations cryptographiques sensibles au cluster MPC. Cette transformation la protège contre les attaques visant la compromission de sa clé privée, car cette dernière n'existe plus sous une forme exploitable centralement.</w:t>
      </w:r>
    </w:p>
    <w:p w14:paraId="66ACAEEB" w14:textId="77777777" w:rsidR="00AF659E" w:rsidRDefault="00AF659E">
      <w:pPr>
        <w:pStyle w:val="NormalWeb"/>
      </w:pPr>
      <w:r>
        <w:rPr>
          <w:rStyle w:val="Strong"/>
        </w:rPr>
        <w:t>Cluster de Calcul Multi-parties (MPC Cluster)</w:t>
      </w:r>
      <w:r>
        <w:t xml:space="preserve"> Le cluster MPC constitue le cœur cryptographique du système. Composé de n serveurs indépendants géographiquement distribués, il maintient collectivement les fragments de clés privées critiques. Chaque serveur détient une part mathématiquement liée aux autres, mais informationnellement indépendante. La robustesse du système est garantie par un schéma de seuil (k,n) où k serveurs suffisent pour reconstituer la fonctionnalité cryptographique sans jamais exposer la clé complète.</w:t>
      </w:r>
    </w:p>
    <w:p w14:paraId="09BF57C6" w14:textId="77777777" w:rsidR="00AF659E" w:rsidRDefault="00AF659E">
      <w:pPr>
        <w:pStyle w:val="NormalWeb"/>
      </w:pPr>
      <w:r>
        <w:rPr>
          <w:rStyle w:val="Strong"/>
        </w:rPr>
        <w:t>Modules de Preuves à Divulgation Nulle (ZKP Modules)</w:t>
      </w:r>
      <w:r>
        <w:t xml:space="preserve"> Ces modules, intégrés stratégiquement aux clients et serveurs MPC, génèrent et vérifient des preuves cryptographiques permettant de valider la possession de secrets ou la correction de calculs sans révéler les informations sous-jacentes. Ils transforment les interactions d'authentification en échanges de preuves mathématiques, éliminant la nécessité de transmettre des informations sensibles.</w:t>
      </w:r>
    </w:p>
    <w:p w14:paraId="0C96F7B6" w14:textId="77777777" w:rsidR="00AF659E" w:rsidRDefault="00AF659E">
      <w:pPr>
        <w:pStyle w:val="NormalWeb"/>
      </w:pPr>
      <w:r>
        <w:rPr>
          <w:rStyle w:val="Strong"/>
        </w:rPr>
        <w:t>Clients Enrichis</w:t>
      </w:r>
      <w:r>
        <w:t xml:space="preserve"> Les clients, qu'il s'agisse d'utilisateurs finaux, d'applications ou d'appareils IoT, sont équipés de modules ZKP leur permettant de prouver leur identité sans exposer leurs clés privées. Cette approche révolutionne l'authentification en la transformant d'un processus de révélation contrôlée en un processus de preuve cryptographique.</w:t>
      </w:r>
    </w:p>
    <w:p w14:paraId="16A9BE1D" w14:textId="77777777" w:rsidR="00AF659E" w:rsidRDefault="00AF659E">
      <w:pPr>
        <w:pStyle w:val="NormalWeb"/>
      </w:pPr>
      <w:r>
        <w:rPr>
          <w:rStyle w:val="Strong"/>
        </w:rPr>
        <w:t>Autorités de Validation Distribuées (Distributed VAs)</w:t>
      </w:r>
      <w:r>
        <w:t xml:space="preserve"> Les Autorités de Validation tirent parti de la nature distribuée du cluster MPC pour offrir des services de vérification de statut </w:t>
      </w:r>
      <w:r>
        <w:lastRenderedPageBreak/>
        <w:t>de certificats plus résilients et transparents, réduisant les risques de manipulation ou de déni de service.</w:t>
      </w:r>
    </w:p>
    <w:p w14:paraId="08EF0C78" w14:textId="77777777" w:rsidR="00AF659E" w:rsidRDefault="00AF659E">
      <w:pPr>
        <w:pStyle w:val="Heading3"/>
        <w:rPr>
          <w:rFonts w:eastAsia="Times New Roman"/>
        </w:rPr>
      </w:pPr>
      <w:r>
        <w:rPr>
          <w:rFonts w:eastAsia="Times New Roman"/>
        </w:rPr>
        <w:t>3.1.4 Mécanismes de Sécurité Innovants</w:t>
      </w:r>
    </w:p>
    <w:p w14:paraId="55BE1855" w14:textId="77777777" w:rsidR="00AF659E" w:rsidRDefault="00AF659E">
      <w:pPr>
        <w:pStyle w:val="Heading4"/>
        <w:rPr>
          <w:rFonts w:eastAsia="Times New Roman"/>
        </w:rPr>
      </w:pPr>
      <w:r>
        <w:rPr>
          <w:rFonts w:eastAsia="Times New Roman"/>
        </w:rPr>
        <w:t>Génération de Clés Distribuée (DKG)</w:t>
      </w:r>
    </w:p>
    <w:p w14:paraId="78B84C51" w14:textId="77777777" w:rsidR="00AF659E" w:rsidRDefault="00AF659E">
      <w:pPr>
        <w:pStyle w:val="NormalWeb"/>
      </w:pPr>
      <w:r>
        <w:t>Le processus de Génération de Clés Distribuée remplace la génération centralisée traditionnelle par un protocole cryptographique collaboratif. Les n serveurs MPC participent à un processus mathématique complexe qui génère collectivement une paire de clés publique-privée. La clé publique est révélée pour utilisation dans les certificats, tandis que la clé privée n'existe que sous la forme de fragments distribués, chacun ne contenant aucune information exploitable individuellement.</w:t>
      </w:r>
    </w:p>
    <w:p w14:paraId="5154BEA7" w14:textId="77777777" w:rsidR="00AF659E" w:rsidRDefault="00AF659E">
      <w:pPr>
        <w:pStyle w:val="NormalWeb"/>
      </w:pPr>
      <w:r>
        <w:t>Ce processus utilise des protocoles cryptographiques avancés tels que le Distributed Key Generation de Pedersen, qui garantit que même si jusqu'à k-1 serveurs sont compromis, la sécurité de la clé globale est préservée. La robustesse est assurée par des mécanismes de partage de secrets vérifiables qui détectent et isolent automatiquement les participants malveillants.</w:t>
      </w:r>
    </w:p>
    <w:p w14:paraId="3B22F6D8" w14:textId="77777777" w:rsidR="00AF659E" w:rsidRDefault="00AF659E">
      <w:pPr>
        <w:pStyle w:val="Heading4"/>
        <w:rPr>
          <w:rFonts w:eastAsia="Times New Roman"/>
        </w:rPr>
      </w:pPr>
      <w:r>
        <w:rPr>
          <w:rFonts w:eastAsia="Times New Roman"/>
        </w:rPr>
        <w:t>Signatures à Seuil (Threshold Signatures)</w:t>
      </w:r>
    </w:p>
    <w:p w14:paraId="47647EB5" w14:textId="77777777" w:rsidR="00AF659E" w:rsidRDefault="00AF659E">
      <w:pPr>
        <w:pStyle w:val="NormalWeb"/>
      </w:pPr>
      <w:r>
        <w:t>Lorsqu'une signature cryptographique est requise, le cluster MPC exécute un protocole de signature à seuil sophistiqué. Ce protocole permet à un sous-ensemble prédéfini de serveurs de collaborer pour produire une signature valide sans jamais reconstituer la clé privée complète. Le processus implique plusieurs rounds de communication cryptographique où chaque serveur contribue sa part du calcul de signature.</w:t>
      </w:r>
    </w:p>
    <w:p w14:paraId="755DAF1B" w14:textId="77777777" w:rsidR="00AF659E" w:rsidRDefault="00AF659E">
      <w:pPr>
        <w:pStyle w:val="NormalWeb"/>
      </w:pPr>
      <w:r>
        <w:t>L'implémentation s'appuie sur des schémas comme l'ECDSA à seuil, qui a été formellement prouvé sécurisé et est largement adopté dans l'industrie. La signature résultante est indistinguable d'une signature générée par une clé centralisée, garantissant une compatibilité totale avec les systèmes existants.</w:t>
      </w:r>
    </w:p>
    <w:p w14:paraId="26139858" w14:textId="77777777" w:rsidR="00AF659E" w:rsidRDefault="00AF659E">
      <w:pPr>
        <w:pStyle w:val="Heading3"/>
        <w:rPr>
          <w:rFonts w:eastAsia="Times New Roman"/>
        </w:rPr>
      </w:pPr>
      <w:r>
        <w:rPr>
          <w:rFonts w:eastAsia="Times New Roman"/>
        </w:rPr>
        <w:t>3.1.5 Intégration des Preuves à Divulgation Nulle</w:t>
      </w:r>
    </w:p>
    <w:p w14:paraId="58C83345" w14:textId="77777777" w:rsidR="00AF659E" w:rsidRDefault="00AF659E">
      <w:pPr>
        <w:pStyle w:val="Heading4"/>
        <w:rPr>
          <w:rFonts w:eastAsia="Times New Roman"/>
        </w:rPr>
      </w:pPr>
      <w:r>
        <w:rPr>
          <w:rFonts w:eastAsia="Times New Roman"/>
        </w:rPr>
        <w:t>Authentification Sans Révélation</w:t>
      </w:r>
    </w:p>
    <w:p w14:paraId="1363CCF7" w14:textId="77777777" w:rsidR="00AF659E" w:rsidRDefault="00AF659E">
      <w:pPr>
        <w:pStyle w:val="NormalWeb"/>
      </w:pPr>
      <w:r>
        <w:t>Les ZKP transforment fondamentalement le processus d'authentification. Au lieu de révéler des secrets pour prouver son identité, un client génère une preuve mathématique démontrant qu'il possède les credentials nécessaires sans les révéler. Cette approche élimine les risques liés à l'interception ou à la compromission des données d'authentification en transit ou au repos.</w:t>
      </w:r>
    </w:p>
    <w:p w14:paraId="76BACC9C" w14:textId="77777777" w:rsidR="00AF659E" w:rsidRDefault="00AF659E">
      <w:pPr>
        <w:pStyle w:val="NormalWeb"/>
      </w:pPr>
      <w:r>
        <w:t>Le processus d'authentification devient un échange de défis-réponses cryptographiques où le client prouve sa connaissance d'une clé privée en résolvant un problème mathématique complexe lié à cette clé, sans jamais exposer la clé elle-même.</w:t>
      </w:r>
    </w:p>
    <w:p w14:paraId="7748754E" w14:textId="77777777" w:rsidR="00AF659E" w:rsidRDefault="00AF659E">
      <w:pPr>
        <w:pStyle w:val="Heading4"/>
        <w:rPr>
          <w:rFonts w:eastAsia="Times New Roman"/>
        </w:rPr>
      </w:pPr>
      <w:r>
        <w:rPr>
          <w:rFonts w:eastAsia="Times New Roman"/>
        </w:rPr>
        <w:t>Vérification de l'Intégrité des Calculs MPC</w:t>
      </w:r>
    </w:p>
    <w:p w14:paraId="31C91C1C" w14:textId="77777777" w:rsidR="00AF659E" w:rsidRDefault="00AF659E">
      <w:pPr>
        <w:pStyle w:val="NormalWeb"/>
      </w:pPr>
      <w:r>
        <w:t xml:space="preserve">Dans un environnement MPC, il est crucial de s'assurer que chaque participant contribue honnêtement aux calculs collectifs. Les ZKP permettent à chaque serveur MPC de prouver </w:t>
      </w:r>
      <w:r>
        <w:lastRenderedPageBreak/>
        <w:t>que sa contribution est correcte et conforme au protocole, sans révéler sa part privée. Cette vérifiabilité renforce la robustesse du système contre les attaques internes et garantit l'intégrité des résultats cryptographiques.</w:t>
      </w:r>
    </w:p>
    <w:p w14:paraId="0B4831DF" w14:textId="77777777" w:rsidR="00AF659E" w:rsidRDefault="00AF659E">
      <w:pPr>
        <w:pStyle w:val="Heading3"/>
        <w:rPr>
          <w:rFonts w:eastAsia="Times New Roman"/>
        </w:rPr>
      </w:pPr>
      <w:r>
        <w:rPr>
          <w:rFonts w:eastAsia="Times New Roman"/>
        </w:rPr>
        <w:t>3.1.6 Objectifs Stratégiques et Bénéfices</w:t>
      </w:r>
    </w:p>
    <w:p w14:paraId="6BADE75D" w14:textId="77777777" w:rsidR="00AF659E" w:rsidRDefault="00AF659E">
      <w:pPr>
        <w:pStyle w:val="NormalWeb"/>
      </w:pPr>
      <w:r>
        <w:t>L'architecture hybride PKI-MPC-ZKP vise plusieurs objectifs stratégiques interconnectés qui répondent aux défis contemporains de la sécurité dans le cloud.</w:t>
      </w:r>
    </w:p>
    <w:p w14:paraId="0991D333" w14:textId="77777777" w:rsidR="00AF659E" w:rsidRDefault="00AF659E">
      <w:pPr>
        <w:pStyle w:val="NormalWeb"/>
      </w:pPr>
      <w:r>
        <w:rPr>
          <w:rStyle w:val="Strong"/>
        </w:rPr>
        <w:t>Élimination des Points de Défaillance Uniques</w:t>
      </w:r>
      <w:r>
        <w:t xml:space="preserve"> En distribuant les opérations cryptographiques critiques, l'architecture élimine le risque qu'une seule compromission paralyse l'ensemble du système. La robustesse mathématique des schémas à seuil garantit que le système continue de fonctionner même si une fraction significative des composants est compromise ou indisponible.</w:t>
      </w:r>
    </w:p>
    <w:p w14:paraId="3A5FFB1C" w14:textId="77777777" w:rsidR="00AF659E" w:rsidRDefault="00AF659E">
      <w:pPr>
        <w:pStyle w:val="NormalWeb"/>
      </w:pPr>
      <w:r>
        <w:rPr>
          <w:rStyle w:val="Strong"/>
        </w:rPr>
        <w:t>Décentralisation de la Confiance</w:t>
      </w:r>
      <w:r>
        <w:t xml:space="preserve"> Le modèle de confiance évolue d'une dépendance envers une autorité unique vers une confiance distribuée basée sur des garanties cryptographiques. Cette transformation réduit les risques de corruption, de coercition ou d'erreur humaine affectant la sécurité globale.</w:t>
      </w:r>
    </w:p>
    <w:p w14:paraId="0F3121C3" w14:textId="77777777" w:rsidR="00AF659E" w:rsidRDefault="00AF659E">
      <w:pPr>
        <w:pStyle w:val="NormalWeb"/>
      </w:pPr>
      <w:r>
        <w:rPr>
          <w:rStyle w:val="Strong"/>
        </w:rPr>
        <w:t>Préservation de la Confidentialité</w:t>
      </w:r>
      <w:r>
        <w:t xml:space="preserve"> L'intégration des ZKP garantit que les processus d'authentification et de validation peuvent être effectués sans compromettre la confidentialité des utilisateurs ou des organisations. Cette caractéristique est particulièrement précieuse dans des contextes réglementaires stricts comme le RGPD européen.</w:t>
      </w:r>
    </w:p>
    <w:p w14:paraId="6AE8FF58" w14:textId="77777777" w:rsidR="00AF659E" w:rsidRDefault="00AF659E">
      <w:pPr>
        <w:pStyle w:val="NormalWeb"/>
      </w:pPr>
      <w:r>
        <w:rPr>
          <w:rStyle w:val="Strong"/>
        </w:rPr>
        <w:t>Résistance aux Menaces Futures</w:t>
      </w:r>
      <w:r>
        <w:t xml:space="preserve"> L'architecture modulaire permet l'intégration future d'algorithmes cryptographiques post-quantiques sans refonte complète du système. Cette adaptabilité prépare l'infrastructure aux défis cryptographiques de la prochaine décennie.</w:t>
      </w:r>
    </w:p>
    <w:p w14:paraId="0798B414" w14:textId="77777777" w:rsidR="00AF659E" w:rsidRDefault="00AF659E">
      <w:pPr>
        <w:pStyle w:val="Heading2"/>
        <w:rPr>
          <w:rFonts w:eastAsia="Times New Roman"/>
        </w:rPr>
      </w:pPr>
      <w:r>
        <w:rPr>
          <w:rFonts w:eastAsia="Times New Roman"/>
        </w:rPr>
        <w:t>3.2 Modélisation Conceptuelle de la Solution</w:t>
      </w:r>
    </w:p>
    <w:p w14:paraId="08412655" w14:textId="77777777" w:rsidR="00AF659E" w:rsidRDefault="00AF659E">
      <w:pPr>
        <w:pStyle w:val="Heading3"/>
        <w:rPr>
          <w:rFonts w:eastAsia="Times New Roman"/>
        </w:rPr>
      </w:pPr>
      <w:r>
        <w:rPr>
          <w:rFonts w:eastAsia="Times New Roman"/>
        </w:rPr>
        <w:t>3.2.1 Formalisation Mathématique du Modèle</w:t>
      </w:r>
    </w:p>
    <w:p w14:paraId="46682DCC" w14:textId="77777777" w:rsidR="00AF659E" w:rsidRDefault="00AF659E">
      <w:pPr>
        <w:pStyle w:val="NormalWeb"/>
      </w:pPr>
      <w:r>
        <w:t>La formalisation mathématique de notre architecture hybride s'appuie sur des fondements théoriques solides de la cryptographie moderne et de la théorie de l'information. Cette section présente les modèles mathématiques sous-jacents qui garantissent les propriétés de sécurité du système.</w:t>
      </w:r>
    </w:p>
    <w:p w14:paraId="25B1B750" w14:textId="77777777" w:rsidR="00AF659E" w:rsidRDefault="00AF659E">
      <w:pPr>
        <w:pStyle w:val="Heading4"/>
        <w:rPr>
          <w:rFonts w:eastAsia="Times New Roman"/>
        </w:rPr>
      </w:pPr>
      <w:r>
        <w:rPr>
          <w:rFonts w:eastAsia="Times New Roman"/>
        </w:rPr>
        <w:t>Modèle de Partage de Secrets</w:t>
      </w:r>
    </w:p>
    <w:p w14:paraId="2DD2477D" w14:textId="77777777" w:rsidR="00AF659E" w:rsidRDefault="00AF659E">
      <w:pPr>
        <w:pStyle w:val="NormalWeb"/>
      </w:pPr>
      <w:r>
        <w:t>Soit S la clé privée secrète de l'Autorité de Certification. Le partage de secrets de Shamir permet de diviser S en n parts {s₁, s₂, ..., sₙ} telles que :</w:t>
      </w:r>
    </w:p>
    <w:p w14:paraId="770D4E90" w14:textId="77777777" w:rsidR="00AF659E" w:rsidRDefault="00AF659E" w:rsidP="00AF659E">
      <w:pPr>
        <w:numPr>
          <w:ilvl w:val="0"/>
          <w:numId w:val="1"/>
        </w:numPr>
        <w:spacing w:before="100" w:beforeAutospacing="1" w:after="100" w:afterAutospacing="1" w:line="240" w:lineRule="auto"/>
        <w:rPr>
          <w:rFonts w:eastAsia="Times New Roman"/>
        </w:rPr>
      </w:pPr>
      <w:r>
        <w:rPr>
          <w:rFonts w:eastAsia="Times New Roman"/>
        </w:rPr>
        <w:t>Toute combinaison de k parts permet de reconstituer S</w:t>
      </w:r>
    </w:p>
    <w:p w14:paraId="548BE771" w14:textId="77777777" w:rsidR="00AF659E" w:rsidRDefault="00AF659E" w:rsidP="00AF659E">
      <w:pPr>
        <w:numPr>
          <w:ilvl w:val="0"/>
          <w:numId w:val="1"/>
        </w:numPr>
        <w:spacing w:before="100" w:beforeAutospacing="1" w:after="100" w:afterAutospacing="1" w:line="240" w:lineRule="auto"/>
        <w:rPr>
          <w:rFonts w:eastAsia="Times New Roman"/>
        </w:rPr>
      </w:pPr>
      <w:r>
        <w:rPr>
          <w:rFonts w:eastAsia="Times New Roman"/>
        </w:rPr>
        <w:t>Toute combinaison de moins de k parts ne révèle aucune information sur S</w:t>
      </w:r>
    </w:p>
    <w:p w14:paraId="163AC0EE" w14:textId="77777777" w:rsidR="00AF659E" w:rsidRDefault="00AF659E">
      <w:pPr>
        <w:pStyle w:val="NormalWeb"/>
      </w:pPr>
      <w:r>
        <w:t>Mathématiquement, ceci est réalisé en représentant S comme la valeur en x=0 d'un polynôme aléatoire P(x) de degré k-1 dans un corps fini F_p :</w:t>
      </w:r>
    </w:p>
    <w:p w14:paraId="67082CFF" w14:textId="77777777" w:rsidR="00AF659E" w:rsidRDefault="00AF659E">
      <w:pPr>
        <w:pStyle w:val="NormalWeb"/>
      </w:pPr>
      <w:r>
        <w:t>P(x) = S + a₁x + a₂x² + ... + aₖ₋₁x^(k-1) mod p</w:t>
      </w:r>
    </w:p>
    <w:p w14:paraId="3FB317DD" w14:textId="77777777" w:rsidR="00AF659E" w:rsidRDefault="00AF659E">
      <w:pPr>
        <w:pStyle w:val="NormalWeb"/>
      </w:pPr>
      <w:r>
        <w:lastRenderedPageBreak/>
        <w:t>Chaque serveur MPC i reçoit la part sᵢ = P(i), et la reconstitution utilise l'interpolation de Lagrange.</w:t>
      </w:r>
    </w:p>
    <w:p w14:paraId="54A76255" w14:textId="77777777" w:rsidR="00AF659E" w:rsidRDefault="00AF659E">
      <w:pPr>
        <w:pStyle w:val="Heading4"/>
        <w:rPr>
          <w:rFonts w:eastAsia="Times New Roman"/>
        </w:rPr>
      </w:pPr>
      <w:r>
        <w:rPr>
          <w:rFonts w:eastAsia="Times New Roman"/>
        </w:rPr>
        <w:t>Modèle de Signature à Seuil ECDSA</w:t>
      </w:r>
    </w:p>
    <w:p w14:paraId="34744A0B" w14:textId="77777777" w:rsidR="00AF659E" w:rsidRDefault="00AF659E">
      <w:pPr>
        <w:pStyle w:val="NormalWeb"/>
      </w:pPr>
      <w:r>
        <w:t>Pour l'ECDSA à seuil, nous considérons une courbe elliptique E définie sur un corps fini F_p, avec un point générateur G d'ordre q. La clé privée x est partagée selon le schéma de Shamir, donnant les parts xᵢ aux participants.</w:t>
      </w:r>
    </w:p>
    <w:p w14:paraId="6C4968CD" w14:textId="77777777" w:rsidR="00AF659E" w:rsidRDefault="00AF659E">
      <w:pPr>
        <w:pStyle w:val="NormalWeb"/>
      </w:pPr>
      <w:r>
        <w:t>Pour signer un message m avec hash H(m), le protocole à seuil produit une signature (r,s) où :</w:t>
      </w:r>
    </w:p>
    <w:p w14:paraId="57467463" w14:textId="77777777" w:rsidR="00AF659E" w:rsidRDefault="00AF659E" w:rsidP="00AF659E">
      <w:pPr>
        <w:numPr>
          <w:ilvl w:val="0"/>
          <w:numId w:val="2"/>
        </w:numPr>
        <w:spacing w:before="100" w:beforeAutospacing="1" w:after="100" w:afterAutospacing="1" w:line="240" w:lineRule="auto"/>
        <w:rPr>
          <w:rFonts w:eastAsia="Times New Roman"/>
        </w:rPr>
      </w:pPr>
      <w:r>
        <w:rPr>
          <w:rFonts w:eastAsia="Times New Roman"/>
        </w:rPr>
        <w:t>r = (kG)_x mod q (coordonnée x du point kG)</w:t>
      </w:r>
    </w:p>
    <w:p w14:paraId="44EBD3CE" w14:textId="77777777" w:rsidR="00AF659E" w:rsidRDefault="00AF659E" w:rsidP="00AF659E">
      <w:pPr>
        <w:numPr>
          <w:ilvl w:val="0"/>
          <w:numId w:val="2"/>
        </w:numPr>
        <w:spacing w:before="100" w:beforeAutospacing="1" w:after="100" w:afterAutospacing="1" w:line="240" w:lineRule="auto"/>
        <w:rPr>
          <w:rFonts w:eastAsia="Times New Roman"/>
        </w:rPr>
      </w:pPr>
      <w:r>
        <w:rPr>
          <w:rFonts w:eastAsia="Times New Roman"/>
        </w:rPr>
        <w:t>s = k</w:t>
      </w:r>
      <w:r>
        <w:rPr>
          <w:rFonts w:ascii="Cambria Math" w:eastAsia="Times New Roman" w:hAnsi="Cambria Math" w:cs="Cambria Math"/>
        </w:rPr>
        <w:t>⁻</w:t>
      </w:r>
      <w:r>
        <w:rPr>
          <w:rFonts w:eastAsia="Times New Roman"/>
        </w:rPr>
        <w:t>¹(H(m) + rx) mod q</w:t>
      </w:r>
    </w:p>
    <w:p w14:paraId="26295782" w14:textId="77777777" w:rsidR="00AF659E" w:rsidRDefault="00AF659E">
      <w:pPr>
        <w:pStyle w:val="NormalWeb"/>
      </w:pPr>
      <w:r>
        <w:t>Le défi technique consiste à calculer s sans reconstituer ni k ni x, ce qui est réalisé grâce à des protocoles MPC sophistiqués utilisant des techniques comme les conversions multiplicatives-additionnelles (MtA).</w:t>
      </w:r>
    </w:p>
    <w:p w14:paraId="1B0EEF9E" w14:textId="77777777" w:rsidR="00AF659E" w:rsidRDefault="00AF659E">
      <w:pPr>
        <w:pStyle w:val="Heading4"/>
        <w:rPr>
          <w:rFonts w:eastAsia="Times New Roman"/>
        </w:rPr>
      </w:pPr>
      <w:r>
        <w:rPr>
          <w:rFonts w:eastAsia="Times New Roman"/>
        </w:rPr>
        <w:t>Modèle ZKP pour l'Authentification</w:t>
      </w:r>
    </w:p>
    <w:p w14:paraId="270B4EA0" w14:textId="77777777" w:rsidR="00AF659E" w:rsidRDefault="00AF659E">
      <w:pPr>
        <w:pStyle w:val="NormalWeb"/>
      </w:pPr>
      <w:r>
        <w:t>Les preuves à divulgation nulle dans notre système suivent le paradigme Sigma. Pour prouver la connaissance d'une clé privée x correspondant à une clé publique Y = xG, le prouveur exécute le protocole suivant :</w:t>
      </w:r>
    </w:p>
    <w:p w14:paraId="77D41BE0" w14:textId="77777777" w:rsidR="00AF659E" w:rsidRDefault="00AF659E" w:rsidP="00AF659E">
      <w:pPr>
        <w:numPr>
          <w:ilvl w:val="0"/>
          <w:numId w:val="3"/>
        </w:numPr>
        <w:spacing w:before="100" w:beforeAutospacing="1" w:after="100" w:afterAutospacing="1" w:line="240" w:lineRule="auto"/>
        <w:rPr>
          <w:rFonts w:eastAsia="Times New Roman"/>
        </w:rPr>
      </w:pPr>
      <w:r>
        <w:rPr>
          <w:rStyle w:val="Strong"/>
          <w:rFonts w:eastAsia="Times New Roman"/>
        </w:rPr>
        <w:t>Engagement</w:t>
      </w:r>
      <w:r>
        <w:rPr>
          <w:rFonts w:eastAsia="Times New Roman"/>
        </w:rPr>
        <w:t xml:space="preserve"> : Choisir r aléatoire, calculer R = rG, envoyer R</w:t>
      </w:r>
    </w:p>
    <w:p w14:paraId="1F3E52B8" w14:textId="77777777" w:rsidR="00AF659E" w:rsidRDefault="00AF659E" w:rsidP="00AF659E">
      <w:pPr>
        <w:numPr>
          <w:ilvl w:val="0"/>
          <w:numId w:val="3"/>
        </w:numPr>
        <w:spacing w:before="100" w:beforeAutospacing="1" w:after="100" w:afterAutospacing="1" w:line="240" w:lineRule="auto"/>
        <w:rPr>
          <w:rFonts w:eastAsia="Times New Roman"/>
        </w:rPr>
      </w:pPr>
      <w:r>
        <w:rPr>
          <w:rStyle w:val="Strong"/>
          <w:rFonts w:eastAsia="Times New Roman"/>
        </w:rPr>
        <w:t>Défi</w:t>
      </w:r>
      <w:r>
        <w:rPr>
          <w:rFonts w:eastAsia="Times New Roman"/>
        </w:rPr>
        <w:t xml:space="preserve"> : Recevoir un défi aléatoire c du vérificateur</w:t>
      </w:r>
    </w:p>
    <w:p w14:paraId="34F8175D" w14:textId="77777777" w:rsidR="00AF659E" w:rsidRDefault="00AF659E" w:rsidP="00AF659E">
      <w:pPr>
        <w:numPr>
          <w:ilvl w:val="0"/>
          <w:numId w:val="3"/>
        </w:numPr>
        <w:spacing w:before="100" w:beforeAutospacing="1" w:after="100" w:afterAutospacing="1" w:line="240" w:lineRule="auto"/>
        <w:rPr>
          <w:rFonts w:eastAsia="Times New Roman"/>
        </w:rPr>
      </w:pPr>
      <w:r>
        <w:rPr>
          <w:rStyle w:val="Strong"/>
          <w:rFonts w:eastAsia="Times New Roman"/>
        </w:rPr>
        <w:t>Réponse</w:t>
      </w:r>
      <w:r>
        <w:rPr>
          <w:rFonts w:eastAsia="Times New Roman"/>
        </w:rPr>
        <w:t xml:space="preserve"> : Calculer z = r + cx mod q, envoyer z</w:t>
      </w:r>
    </w:p>
    <w:p w14:paraId="2CA51F4E" w14:textId="77777777" w:rsidR="00AF659E" w:rsidRDefault="00AF659E" w:rsidP="00AF659E">
      <w:pPr>
        <w:numPr>
          <w:ilvl w:val="0"/>
          <w:numId w:val="3"/>
        </w:numPr>
        <w:spacing w:before="100" w:beforeAutospacing="1" w:after="100" w:afterAutospacing="1" w:line="240" w:lineRule="auto"/>
        <w:rPr>
          <w:rFonts w:eastAsia="Times New Roman"/>
        </w:rPr>
      </w:pPr>
      <w:r>
        <w:rPr>
          <w:rStyle w:val="Strong"/>
          <w:rFonts w:eastAsia="Times New Roman"/>
        </w:rPr>
        <w:t>Vérification</w:t>
      </w:r>
      <w:r>
        <w:rPr>
          <w:rFonts w:eastAsia="Times New Roman"/>
        </w:rPr>
        <w:t xml:space="preserve"> : Vérifier que zG = R + cY</w:t>
      </w:r>
    </w:p>
    <w:p w14:paraId="55AEC8FA" w14:textId="77777777" w:rsidR="00AF659E" w:rsidRDefault="00AF659E">
      <w:pPr>
        <w:pStyle w:val="NormalWeb"/>
      </w:pPr>
      <w:r>
        <w:t>Ce protocole satisfait les propriétés de complétude, solidité et zéro-connaissance.</w:t>
      </w:r>
    </w:p>
    <w:p w14:paraId="2D611043" w14:textId="77777777" w:rsidR="00AF659E" w:rsidRDefault="00AF659E">
      <w:pPr>
        <w:pStyle w:val="Heading3"/>
        <w:rPr>
          <w:rFonts w:eastAsia="Times New Roman"/>
        </w:rPr>
      </w:pPr>
      <w:r>
        <w:rPr>
          <w:rFonts w:eastAsia="Times New Roman"/>
        </w:rPr>
        <w:t>3.2.2 Architecture Fonctionnelle Détaillée</w:t>
      </w:r>
    </w:p>
    <w:p w14:paraId="7FB9B453" w14:textId="77777777" w:rsidR="00AF659E" w:rsidRDefault="00AF659E">
      <w:pPr>
        <w:pStyle w:val="Heading4"/>
        <w:rPr>
          <w:rFonts w:eastAsia="Times New Roman"/>
        </w:rPr>
      </w:pPr>
      <w:r>
        <w:rPr>
          <w:rFonts w:eastAsia="Times New Roman"/>
        </w:rPr>
        <w:t>Diagramme d'Architecture Globale</w:t>
      </w:r>
    </w:p>
    <w:p w14:paraId="1247DA21" w14:textId="77777777" w:rsidR="00AF659E" w:rsidRDefault="00AF659E">
      <w:pPr>
        <w:pStyle w:val="HTMLPreformatted"/>
        <w:rPr>
          <w:rStyle w:val="HTMLCode"/>
        </w:rPr>
      </w:pPr>
      <w:r>
        <w:rPr>
          <w:rStyle w:val="HTMLCode"/>
        </w:rPr>
        <w:t xml:space="preserve">                    ┌─────────────────┐</w:t>
      </w:r>
    </w:p>
    <w:p w14:paraId="6987CEC5" w14:textId="77777777" w:rsidR="00AF659E" w:rsidRDefault="00AF659E">
      <w:pPr>
        <w:pStyle w:val="HTMLPreformatted"/>
        <w:rPr>
          <w:rStyle w:val="HTMLCode"/>
        </w:rPr>
      </w:pPr>
      <w:r>
        <w:rPr>
          <w:rStyle w:val="HTMLCode"/>
        </w:rPr>
        <w:t xml:space="preserve">                    │   Client avec   │</w:t>
      </w:r>
    </w:p>
    <w:p w14:paraId="1A1450E8" w14:textId="77777777" w:rsidR="00AF659E" w:rsidRDefault="00AF659E">
      <w:pPr>
        <w:pStyle w:val="HTMLPreformatted"/>
        <w:rPr>
          <w:rStyle w:val="HTMLCode"/>
        </w:rPr>
      </w:pPr>
      <w:r>
        <w:rPr>
          <w:rStyle w:val="HTMLCode"/>
        </w:rPr>
        <w:t xml:space="preserve">                    │   Module ZKP    │</w:t>
      </w:r>
    </w:p>
    <w:p w14:paraId="187098FE" w14:textId="77777777" w:rsidR="00AF659E" w:rsidRDefault="00AF659E">
      <w:pPr>
        <w:pStyle w:val="HTMLPreformatted"/>
        <w:rPr>
          <w:rStyle w:val="HTMLCode"/>
        </w:rPr>
      </w:pPr>
      <w:r>
        <w:rPr>
          <w:rStyle w:val="HTMLCode"/>
        </w:rPr>
        <w:t xml:space="preserve">                    └─────────┬───────┘</w:t>
      </w:r>
    </w:p>
    <w:p w14:paraId="32AA1168" w14:textId="77777777" w:rsidR="00AF659E" w:rsidRDefault="00AF659E">
      <w:pPr>
        <w:pStyle w:val="HTMLPreformatted"/>
        <w:rPr>
          <w:rStyle w:val="HTMLCode"/>
        </w:rPr>
      </w:pPr>
      <w:r>
        <w:rPr>
          <w:rStyle w:val="HTMLCode"/>
        </w:rPr>
        <w:t xml:space="preserve">                              │</w:t>
      </w:r>
    </w:p>
    <w:p w14:paraId="416A810C" w14:textId="77777777" w:rsidR="00AF659E" w:rsidRDefault="00AF659E">
      <w:pPr>
        <w:pStyle w:val="HTMLPreformatted"/>
        <w:rPr>
          <w:rStyle w:val="HTMLCode"/>
        </w:rPr>
      </w:pPr>
      <w:r>
        <w:rPr>
          <w:rStyle w:val="HTMLCode"/>
        </w:rPr>
        <w:t xml:space="preserve">                    ┌─────────▼───────┐</w:t>
      </w:r>
    </w:p>
    <w:p w14:paraId="2DE58107" w14:textId="77777777" w:rsidR="00AF659E" w:rsidRDefault="00AF659E">
      <w:pPr>
        <w:pStyle w:val="HTMLPreformatted"/>
        <w:rPr>
          <w:rStyle w:val="HTMLCode"/>
        </w:rPr>
      </w:pPr>
      <w:r>
        <w:rPr>
          <w:rStyle w:val="HTMLCode"/>
        </w:rPr>
        <w:t xml:space="preserve">                    │  CA Augmentée   │</w:t>
      </w:r>
    </w:p>
    <w:p w14:paraId="5893B0F3" w14:textId="77777777" w:rsidR="00AF659E" w:rsidRDefault="00AF659E">
      <w:pPr>
        <w:pStyle w:val="HTMLPreformatted"/>
        <w:rPr>
          <w:rStyle w:val="HTMLCode"/>
        </w:rPr>
      </w:pPr>
      <w:r>
        <w:rPr>
          <w:rStyle w:val="HTMLCode"/>
        </w:rPr>
        <w:t xml:space="preserve">                    │  (Orchestrateur)│</w:t>
      </w:r>
    </w:p>
    <w:p w14:paraId="34F83817" w14:textId="77777777" w:rsidR="00AF659E" w:rsidRDefault="00AF659E">
      <w:pPr>
        <w:pStyle w:val="HTMLPreformatted"/>
        <w:rPr>
          <w:rStyle w:val="HTMLCode"/>
        </w:rPr>
      </w:pPr>
      <w:r>
        <w:rPr>
          <w:rStyle w:val="HTMLCode"/>
        </w:rPr>
        <w:t xml:space="preserve">                    └─────────┬───────┘</w:t>
      </w:r>
    </w:p>
    <w:p w14:paraId="318C8DB8" w14:textId="77777777" w:rsidR="00AF659E" w:rsidRDefault="00AF659E">
      <w:pPr>
        <w:pStyle w:val="HTMLPreformatted"/>
        <w:rPr>
          <w:rStyle w:val="HTMLCode"/>
        </w:rPr>
      </w:pPr>
      <w:r>
        <w:rPr>
          <w:rStyle w:val="HTMLCode"/>
        </w:rPr>
        <w:t xml:space="preserve">                              │</w:t>
      </w:r>
    </w:p>
    <w:p w14:paraId="78258AA1" w14:textId="77777777" w:rsidR="00AF659E" w:rsidRDefault="00AF659E">
      <w:pPr>
        <w:pStyle w:val="HTMLPreformatted"/>
        <w:rPr>
          <w:rStyle w:val="HTMLCode"/>
        </w:rPr>
      </w:pPr>
      <w:r>
        <w:rPr>
          <w:rStyle w:val="HTMLCode"/>
        </w:rPr>
        <w:t xml:space="preserve">          ┌───────────────────┼───────────────────┐</w:t>
      </w:r>
    </w:p>
    <w:p w14:paraId="53444AEF" w14:textId="77777777" w:rsidR="00AF659E" w:rsidRDefault="00AF659E">
      <w:pPr>
        <w:pStyle w:val="HTMLPreformatted"/>
        <w:rPr>
          <w:rStyle w:val="HTMLCode"/>
        </w:rPr>
      </w:pPr>
      <w:r>
        <w:rPr>
          <w:rStyle w:val="HTMLCode"/>
        </w:rPr>
        <w:t xml:space="preserve">          │                   │                   │</w:t>
      </w:r>
    </w:p>
    <w:p w14:paraId="7DFB83D1" w14:textId="77777777" w:rsidR="00AF659E" w:rsidRDefault="00AF659E">
      <w:pPr>
        <w:pStyle w:val="HTMLPreformatted"/>
        <w:rPr>
          <w:rStyle w:val="HTMLCode"/>
        </w:rPr>
      </w:pPr>
      <w:r>
        <w:rPr>
          <w:rStyle w:val="HTMLCode"/>
        </w:rPr>
        <w:t xml:space="preserve">    ┌─────▼─────┐     ┌─────▼─────┐     ┌─────▼─────┐</w:t>
      </w:r>
    </w:p>
    <w:p w14:paraId="34FCF6B1" w14:textId="77777777" w:rsidR="00AF659E" w:rsidRDefault="00AF659E">
      <w:pPr>
        <w:pStyle w:val="HTMLPreformatted"/>
        <w:rPr>
          <w:rStyle w:val="HTMLCode"/>
        </w:rPr>
      </w:pPr>
      <w:r>
        <w:rPr>
          <w:rStyle w:val="HTMLCode"/>
        </w:rPr>
        <w:t xml:space="preserve">    │ Serveur   │     │ Serveur   │     │ Serveur   │</w:t>
      </w:r>
    </w:p>
    <w:p w14:paraId="6790B140" w14:textId="77777777" w:rsidR="00AF659E" w:rsidRDefault="00AF659E">
      <w:pPr>
        <w:pStyle w:val="HTMLPreformatted"/>
        <w:rPr>
          <w:rStyle w:val="HTMLCode"/>
        </w:rPr>
      </w:pPr>
      <w:r>
        <w:rPr>
          <w:rStyle w:val="HTMLCode"/>
        </w:rPr>
        <w:t xml:space="preserve">    │ MPC 1     │◄────┤ MPC 2     │────►│ MPC n     │</w:t>
      </w:r>
    </w:p>
    <w:p w14:paraId="34ECD2FF" w14:textId="77777777" w:rsidR="00AF659E" w:rsidRDefault="00AF659E">
      <w:pPr>
        <w:pStyle w:val="HTMLPreformatted"/>
        <w:rPr>
          <w:rStyle w:val="HTMLCode"/>
        </w:rPr>
      </w:pPr>
      <w:r>
        <w:rPr>
          <w:rStyle w:val="HTMLCode"/>
        </w:rPr>
        <w:t xml:space="preserve">    │ + ZKP     │     │ + ZKP     │     │ + ZKP     │</w:t>
      </w:r>
    </w:p>
    <w:p w14:paraId="7C6745F1" w14:textId="77777777" w:rsidR="00AF659E" w:rsidRDefault="00AF659E">
      <w:pPr>
        <w:pStyle w:val="HTMLPreformatted"/>
        <w:rPr>
          <w:rStyle w:val="HTMLCode"/>
        </w:rPr>
      </w:pPr>
      <w:r>
        <w:rPr>
          <w:rStyle w:val="HTMLCode"/>
        </w:rPr>
        <w:t xml:space="preserve">    └───────────┘     └───────────┘     └───────────┘</w:t>
      </w:r>
    </w:p>
    <w:p w14:paraId="20F32F6E" w14:textId="77777777" w:rsidR="00AF659E" w:rsidRDefault="00AF659E">
      <w:pPr>
        <w:pStyle w:val="HTMLPreformatted"/>
        <w:rPr>
          <w:rStyle w:val="HTMLCode"/>
        </w:rPr>
      </w:pPr>
      <w:r>
        <w:rPr>
          <w:rStyle w:val="HTMLCode"/>
        </w:rPr>
        <w:t xml:space="preserve">          │                   │                   │</w:t>
      </w:r>
    </w:p>
    <w:p w14:paraId="2C6F529F" w14:textId="77777777" w:rsidR="00AF659E" w:rsidRDefault="00AF659E">
      <w:pPr>
        <w:pStyle w:val="HTMLPreformatted"/>
        <w:rPr>
          <w:rStyle w:val="HTMLCode"/>
        </w:rPr>
      </w:pPr>
      <w:r>
        <w:rPr>
          <w:rStyle w:val="HTMLCode"/>
        </w:rPr>
        <w:t xml:space="preserve">          └───────────────────┼───────────────────┘</w:t>
      </w:r>
    </w:p>
    <w:p w14:paraId="45C1786D" w14:textId="77777777" w:rsidR="00AF659E" w:rsidRDefault="00AF659E">
      <w:pPr>
        <w:pStyle w:val="HTMLPreformatted"/>
        <w:rPr>
          <w:rStyle w:val="HTMLCode"/>
        </w:rPr>
      </w:pPr>
      <w:r>
        <w:rPr>
          <w:rStyle w:val="HTMLCode"/>
        </w:rPr>
        <w:lastRenderedPageBreak/>
        <w:t xml:space="preserve">                              │</w:t>
      </w:r>
    </w:p>
    <w:p w14:paraId="2A35BF32" w14:textId="77777777" w:rsidR="00AF659E" w:rsidRDefault="00AF659E">
      <w:pPr>
        <w:pStyle w:val="HTMLPreformatted"/>
        <w:rPr>
          <w:rStyle w:val="HTMLCode"/>
        </w:rPr>
      </w:pPr>
      <w:r>
        <w:rPr>
          <w:rStyle w:val="HTMLCode"/>
        </w:rPr>
        <w:t xml:space="preserve">                    ┌─────────▼───────┐</w:t>
      </w:r>
    </w:p>
    <w:p w14:paraId="6AF4B395" w14:textId="77777777" w:rsidR="00AF659E" w:rsidRDefault="00AF659E">
      <w:pPr>
        <w:pStyle w:val="HTMLPreformatted"/>
        <w:rPr>
          <w:rStyle w:val="HTMLCode"/>
        </w:rPr>
      </w:pPr>
      <w:r>
        <w:rPr>
          <w:rStyle w:val="HTMLCode"/>
        </w:rPr>
        <w:t xml:space="preserve">                    │ Service Cloud   │</w:t>
      </w:r>
    </w:p>
    <w:p w14:paraId="489A53D7" w14:textId="77777777" w:rsidR="00AF659E" w:rsidRDefault="00AF659E">
      <w:pPr>
        <w:pStyle w:val="HTMLPreformatted"/>
        <w:rPr>
          <w:rStyle w:val="HTMLCode"/>
        </w:rPr>
      </w:pPr>
      <w:r>
        <w:rPr>
          <w:rStyle w:val="HTMLCode"/>
        </w:rPr>
        <w:t xml:space="preserve">                    │ + Validation    │</w:t>
      </w:r>
    </w:p>
    <w:p w14:paraId="638F2A8E" w14:textId="77777777" w:rsidR="00AF659E" w:rsidRDefault="00AF659E">
      <w:pPr>
        <w:pStyle w:val="HTMLPreformatted"/>
        <w:rPr>
          <w:rStyle w:val="HTMLCode"/>
        </w:rPr>
      </w:pPr>
      <w:r>
        <w:rPr>
          <w:rStyle w:val="HTMLCode"/>
        </w:rPr>
        <w:t xml:space="preserve">                    └─────────────────┘</w:t>
      </w:r>
    </w:p>
    <w:p w14:paraId="0660866C" w14:textId="77777777" w:rsidR="00AF659E" w:rsidRDefault="00AF659E">
      <w:pPr>
        <w:pStyle w:val="Heading4"/>
        <w:rPr>
          <w:rFonts w:eastAsia="Times New Roman"/>
        </w:rPr>
      </w:pPr>
      <w:r>
        <w:rPr>
          <w:rFonts w:eastAsia="Times New Roman"/>
        </w:rPr>
        <w:t>Flux de Données et Processus Cryptographiques</w:t>
      </w:r>
    </w:p>
    <w:p w14:paraId="401181E0" w14:textId="77777777" w:rsidR="00AF659E" w:rsidRDefault="00AF659E">
      <w:pPr>
        <w:pStyle w:val="NormalWeb"/>
      </w:pPr>
      <w:r>
        <w:rPr>
          <w:rStyle w:val="Strong"/>
        </w:rPr>
        <w:t>Phase 1 : Initialisation du Système</w:t>
      </w:r>
    </w:p>
    <w:p w14:paraId="7AB04164" w14:textId="77777777" w:rsidR="00AF659E" w:rsidRDefault="00AF659E">
      <w:pPr>
        <w:pStyle w:val="NormalWeb"/>
      </w:pPr>
      <w:r>
        <w:t>L'initialisation implique la configuration sécurisée du cluster MPC et la génération distribuée des clés maîtresses. Ce processus critique s'effectue lors du déploiement initial et lors des renouvellements périodiques de clés.</w:t>
      </w:r>
    </w:p>
    <w:p w14:paraId="56C9A36B" w14:textId="77777777" w:rsidR="00AF659E" w:rsidRDefault="00AF659E">
      <w:pPr>
        <w:pStyle w:val="NormalWeb"/>
      </w:pPr>
      <w:r>
        <w:t>Les serveurs MPC participent à un protocole de génération de clés distribuée (DKG) qui produit collectivement la paire de clés de la CA. Ce processus garantit que la clé privée n'existe jamais sous forme complète, même temporairement, sur aucun système individuel.</w:t>
      </w:r>
    </w:p>
    <w:p w14:paraId="108F3716" w14:textId="77777777" w:rsidR="00AF659E" w:rsidRDefault="00AF659E">
      <w:pPr>
        <w:pStyle w:val="NormalWeb"/>
      </w:pPr>
      <w:r>
        <w:rPr>
          <w:rStyle w:val="Strong"/>
        </w:rPr>
        <w:t>Phase 2 : Émission de Certificats</w:t>
      </w:r>
    </w:p>
    <w:p w14:paraId="6140FA17" w14:textId="77777777" w:rsidR="00AF659E" w:rsidRDefault="00AF659E">
      <w:pPr>
        <w:pStyle w:val="NormalWeb"/>
      </w:pPr>
      <w:r>
        <w:t>Quand un client demande un certificat, la CA Augmentée vérifie son identité selon les politiques établies, puis initie le processus de signature distribuée. Le cluster MPC exécute le protocole de signature à seuil pour signer le certificat, chaque serveur contribuant sa part de la signature sans révéler sa clé privée partielle.</w:t>
      </w:r>
    </w:p>
    <w:p w14:paraId="14C73FEA" w14:textId="77777777" w:rsidR="00AF659E" w:rsidRDefault="00AF659E">
      <w:pPr>
        <w:pStyle w:val="NormalWeb"/>
      </w:pPr>
      <w:r>
        <w:rPr>
          <w:rStyle w:val="Strong"/>
        </w:rPr>
        <w:t>Phase 3 : Authentification Client</w:t>
      </w:r>
    </w:p>
    <w:p w14:paraId="3AEBBBA4" w14:textId="77777777" w:rsidR="00AF659E" w:rsidRDefault="00AF659E">
      <w:pPr>
        <w:pStyle w:val="NormalWeb"/>
      </w:pPr>
      <w:r>
        <w:t>L'authentification utilise les ZKP pour permettre au client de prouver sa possession de la clé privée correspondant à son certificat, sans jamais révéler cette clé. Ce processus transforme l'authentification traditionnelle en un échange de preuves cryptographiques.</w:t>
      </w:r>
    </w:p>
    <w:p w14:paraId="008A4EEF" w14:textId="77777777" w:rsidR="00AF659E" w:rsidRDefault="00AF659E">
      <w:pPr>
        <w:pStyle w:val="Heading3"/>
        <w:rPr>
          <w:rFonts w:eastAsia="Times New Roman"/>
        </w:rPr>
      </w:pPr>
      <w:r>
        <w:rPr>
          <w:rFonts w:eastAsia="Times New Roman"/>
        </w:rPr>
        <w:t>3.2.3 Protocoles de Communication Sécurisée</w:t>
      </w:r>
    </w:p>
    <w:p w14:paraId="5502DDD2" w14:textId="77777777" w:rsidR="00AF659E" w:rsidRDefault="00AF659E">
      <w:pPr>
        <w:pStyle w:val="Heading4"/>
        <w:rPr>
          <w:rFonts w:eastAsia="Times New Roman"/>
        </w:rPr>
      </w:pPr>
      <w:r>
        <w:rPr>
          <w:rFonts w:eastAsia="Times New Roman"/>
        </w:rPr>
        <w:t>Protocole de Coordination MPC</w:t>
      </w:r>
    </w:p>
    <w:p w14:paraId="6A04A791" w14:textId="77777777" w:rsidR="00AF659E" w:rsidRDefault="00AF659E">
      <w:pPr>
        <w:pStyle w:val="NormalWeb"/>
      </w:pPr>
      <w:r>
        <w:t>La coordination entre serveurs MPC utilise des protocoles de consensus tolérants aux fautes byzantines pour garantir la cohérence des opérations distribuées. Nous proposons l'utilisation d'un protocole BFT adapté aux exigences cryptographiques, combinant des éléments de PBFT (Practical Byzantine Fault Tolerance) avec des optimisations spécifiques aux calculs MPC.</w:t>
      </w:r>
    </w:p>
    <w:p w14:paraId="4F9D48A8" w14:textId="77777777" w:rsidR="00AF659E" w:rsidRDefault="00AF659E">
      <w:pPr>
        <w:pStyle w:val="NormalWeb"/>
      </w:pPr>
      <w:r>
        <w:t xml:space="preserve">Le protocole garantit que même si jusqu'à </w:t>
      </w:r>
      <w:r>
        <w:rPr>
          <w:rFonts w:ascii="Cambria Math" w:hAnsi="Cambria Math" w:cs="Cambria Math"/>
        </w:rPr>
        <w:t>⌊</w:t>
      </w:r>
      <w:r>
        <w:t>(n-1)/3</w:t>
      </w:r>
      <w:r>
        <w:rPr>
          <w:rFonts w:ascii="Cambria Math" w:hAnsi="Cambria Math" w:cs="Cambria Math"/>
        </w:rPr>
        <w:t>⌋</w:t>
      </w:r>
      <w:r>
        <w:t xml:space="preserve"> serveurs MPC sont malveillants ou défaillants, le système continue de fonctionner correctement et produit des résultats cryptographiquement valides.</w:t>
      </w:r>
    </w:p>
    <w:p w14:paraId="5FF92CD8" w14:textId="77777777" w:rsidR="00AF659E" w:rsidRDefault="00AF659E">
      <w:pPr>
        <w:pStyle w:val="Heading4"/>
        <w:rPr>
          <w:rFonts w:eastAsia="Times New Roman"/>
        </w:rPr>
      </w:pPr>
      <w:r>
        <w:rPr>
          <w:rFonts w:eastAsia="Times New Roman"/>
        </w:rPr>
        <w:t>Gestion de l'État Distribué</w:t>
      </w:r>
    </w:p>
    <w:p w14:paraId="753A562C" w14:textId="77777777" w:rsidR="00AF659E" w:rsidRDefault="00AF659E">
      <w:pPr>
        <w:pStyle w:val="NormalWeb"/>
      </w:pPr>
      <w:r>
        <w:t>Chaque serveur MPC maintient un état cryptographique local comprenant ses parts de clés, les paramètres de protocole en cours, et l'historique des opérations. La synchronisation de ces états utilise des techniques de partage de secrets vérifiables (VSS) qui permettent de détecter et de corriger automatiquement les incohérences.</w:t>
      </w:r>
    </w:p>
    <w:p w14:paraId="5A08D1EA" w14:textId="77777777" w:rsidR="00AF659E" w:rsidRDefault="00AF659E">
      <w:pPr>
        <w:pStyle w:val="Heading3"/>
        <w:rPr>
          <w:rFonts w:eastAsia="Times New Roman"/>
        </w:rPr>
      </w:pPr>
      <w:r>
        <w:rPr>
          <w:rFonts w:eastAsia="Times New Roman"/>
        </w:rPr>
        <w:lastRenderedPageBreak/>
        <w:t>3.2.4 Mécanismes de Sécurité Avancés</w:t>
      </w:r>
    </w:p>
    <w:p w14:paraId="1F69E87C" w14:textId="77777777" w:rsidR="00AF659E" w:rsidRDefault="00AF659E">
      <w:pPr>
        <w:pStyle w:val="Heading4"/>
        <w:rPr>
          <w:rFonts w:eastAsia="Times New Roman"/>
        </w:rPr>
      </w:pPr>
      <w:r>
        <w:rPr>
          <w:rFonts w:eastAsia="Times New Roman"/>
        </w:rPr>
        <w:t>Gestion Dynamique du Quorum</w:t>
      </w:r>
    </w:p>
    <w:p w14:paraId="3D0894CB" w14:textId="77777777" w:rsidR="00AF659E" w:rsidRDefault="00AF659E">
      <w:pPr>
        <w:pStyle w:val="NormalWeb"/>
      </w:pPr>
      <w:r>
        <w:t>L'architecture intègre des mécanismes de gestion dynamique du quorum permettant d'ajouter ou de retirer des serveurs MPC sans interrompre les opérations. Cette capacité est essentielle pour maintenir la disponibilité dans des environnements cloud dynamiques où les ressources peuvent être allouées ou libérées selon la demande.</w:t>
      </w:r>
    </w:p>
    <w:p w14:paraId="0D410EFC" w14:textId="77777777" w:rsidR="00AF659E" w:rsidRDefault="00AF659E">
      <w:pPr>
        <w:pStyle w:val="NormalWeb"/>
      </w:pPr>
      <w:r>
        <w:t>Le processus de repartage proactif des secrets permet de renouveler périodiquement les parts de clés sans changer la clé sous-jacente, renforçant la sécurité contre les attaques à long terme et permettant l'évolution de la topologie du cluster.</w:t>
      </w:r>
    </w:p>
    <w:p w14:paraId="13E887DB" w14:textId="77777777" w:rsidR="00AF659E" w:rsidRDefault="00AF659E">
      <w:pPr>
        <w:pStyle w:val="Heading4"/>
        <w:rPr>
          <w:rFonts w:eastAsia="Times New Roman"/>
        </w:rPr>
      </w:pPr>
      <w:r>
        <w:rPr>
          <w:rFonts w:eastAsia="Times New Roman"/>
        </w:rPr>
        <w:t>Intégration de la Cryptographie Post-Quantique</w:t>
      </w:r>
    </w:p>
    <w:p w14:paraId="5AB099C6" w14:textId="77777777" w:rsidR="00AF659E" w:rsidRDefault="00AF659E">
      <w:pPr>
        <w:pStyle w:val="NormalWeb"/>
      </w:pPr>
      <w:r>
        <w:t>L'architecture modulaire facilite l'intégration future d'algorithmes résistants aux attaques quantiques. Les protocoles MPC peuvent être adaptés pour utiliser des schémas comme CRYSTALS-Kyber pour l'échange de clés et CRYSTALS-Dilithium pour les signatures, préparant le système aux menaces quantiques futures.</w:t>
      </w:r>
    </w:p>
    <w:p w14:paraId="44082A21" w14:textId="77777777" w:rsidR="00AF659E" w:rsidRDefault="00AF659E">
      <w:pPr>
        <w:pStyle w:val="Heading2"/>
        <w:rPr>
          <w:rFonts w:eastAsia="Times New Roman"/>
        </w:rPr>
      </w:pPr>
      <w:r>
        <w:rPr>
          <w:rFonts w:eastAsia="Times New Roman"/>
        </w:rPr>
        <w:t>3.3 Analyse de Sécurité et Validation Formelle</w:t>
      </w:r>
    </w:p>
    <w:p w14:paraId="08450EBB" w14:textId="77777777" w:rsidR="00AF659E" w:rsidRDefault="00AF659E">
      <w:pPr>
        <w:pStyle w:val="Heading3"/>
        <w:rPr>
          <w:rFonts w:eastAsia="Times New Roman"/>
        </w:rPr>
      </w:pPr>
      <w:r>
        <w:rPr>
          <w:rFonts w:eastAsia="Times New Roman"/>
        </w:rPr>
        <w:t>3.3.1 Modèle de Sécurité et Hypothèses</w:t>
      </w:r>
    </w:p>
    <w:p w14:paraId="5C52CE22" w14:textId="77777777" w:rsidR="00AF659E" w:rsidRDefault="00AF659E">
      <w:pPr>
        <w:pStyle w:val="NormalWeb"/>
      </w:pPr>
      <w:r>
        <w:t>Notre analyse de sécurité s'appuie sur un modèle d'adversaire robuste qui considère différents types d'attaquants et de scénarios de compromission. Le modèle distingue trois catégories principales d'adversaires selon leurs capacités et leurs objectifs.</w:t>
      </w:r>
    </w:p>
    <w:p w14:paraId="6FBAE303" w14:textId="77777777" w:rsidR="00AF659E" w:rsidRDefault="00AF659E">
      <w:pPr>
        <w:pStyle w:val="Heading4"/>
        <w:rPr>
          <w:rFonts w:eastAsia="Times New Roman"/>
        </w:rPr>
      </w:pPr>
      <w:r>
        <w:rPr>
          <w:rFonts w:eastAsia="Times New Roman"/>
        </w:rPr>
        <w:t>Modèle d'Adversaire</w:t>
      </w:r>
    </w:p>
    <w:p w14:paraId="6FA3E32C" w14:textId="77777777" w:rsidR="00AF659E" w:rsidRDefault="00AF659E">
      <w:pPr>
        <w:pStyle w:val="NormalWeb"/>
      </w:pPr>
      <w:r>
        <w:rPr>
          <w:rStyle w:val="Strong"/>
        </w:rPr>
        <w:t>Adversaire Semi-Honnête (Honest-but-Curious)</w:t>
      </w:r>
      <w:r>
        <w:t xml:space="preserve"> Cet adversaire suit correctement les protocoles mais tente d'extraire des informations supplémentaires à partir des données observées. Dans notre contexte, cela correspond à un serveur MPC ou une CA qui exécute fidèlement les protocoles mais cherche à apprendre des informations sur les clés privées ou les données d'autres participants.</w:t>
      </w:r>
    </w:p>
    <w:p w14:paraId="7D4EFD33" w14:textId="77777777" w:rsidR="00AF659E" w:rsidRDefault="00AF659E">
      <w:pPr>
        <w:pStyle w:val="NormalWeb"/>
      </w:pPr>
      <w:r>
        <w:rPr>
          <w:rStyle w:val="Strong"/>
        </w:rPr>
        <w:t>Adversaire Malveillant (Malicious)</w:t>
      </w:r>
      <w:r>
        <w:t xml:space="preserve"> L'adversaire malveillant peut s'écarter arbitrairement des protocoles spécifiés, modifier ses entrées, ou refuser de participer. Il peut également tenter de corrompre l'intégrité des calculs distribués ou de perturber la disponibilité du système.</w:t>
      </w:r>
    </w:p>
    <w:p w14:paraId="5A549539" w14:textId="77777777" w:rsidR="00AF659E" w:rsidRDefault="00AF659E">
      <w:pPr>
        <w:pStyle w:val="NormalWeb"/>
      </w:pPr>
      <w:r>
        <w:rPr>
          <w:rStyle w:val="Strong"/>
        </w:rPr>
        <w:t>Adversaire Adaptatif</w:t>
      </w:r>
      <w:r>
        <w:t xml:space="preserve"> Cet adversaire peut corrompre dynamiquement des participants pendant l'exécution du protocole, en fonction des informations qu'il observe. Cette modélisation capture les attaques sophistiquées où l'adversaire adapte sa stratégie en temps réel.</w:t>
      </w:r>
    </w:p>
    <w:p w14:paraId="79ED83BF" w14:textId="77777777" w:rsidR="00AF659E" w:rsidRDefault="00AF659E">
      <w:pPr>
        <w:pStyle w:val="Heading4"/>
        <w:rPr>
          <w:rFonts w:eastAsia="Times New Roman"/>
        </w:rPr>
      </w:pPr>
      <w:r>
        <w:rPr>
          <w:rFonts w:eastAsia="Times New Roman"/>
        </w:rPr>
        <w:t>Hypothèses de Sécurité</w:t>
      </w:r>
    </w:p>
    <w:p w14:paraId="27E420A3" w14:textId="77777777" w:rsidR="00AF659E" w:rsidRDefault="00AF659E">
      <w:pPr>
        <w:pStyle w:val="NormalWeb"/>
      </w:pPr>
      <w:r>
        <w:t>Notre analyse repose sur plusieurs hypothèses cryptographiques standards :</w:t>
      </w:r>
    </w:p>
    <w:p w14:paraId="75C4D66B" w14:textId="77777777" w:rsidR="00AF659E" w:rsidRDefault="00AF659E" w:rsidP="00AF659E">
      <w:pPr>
        <w:numPr>
          <w:ilvl w:val="0"/>
          <w:numId w:val="4"/>
        </w:numPr>
        <w:spacing w:before="100" w:beforeAutospacing="1" w:after="100" w:afterAutospacing="1" w:line="240" w:lineRule="auto"/>
        <w:rPr>
          <w:rFonts w:eastAsia="Times New Roman"/>
        </w:rPr>
      </w:pPr>
      <w:r>
        <w:rPr>
          <w:rStyle w:val="Strong"/>
          <w:rFonts w:eastAsia="Times New Roman"/>
        </w:rPr>
        <w:lastRenderedPageBreak/>
        <w:t>Hypothèse du Logarithme Discret sur Courbes Elliptiques (ECDLP)</w:t>
      </w:r>
      <w:r>
        <w:rPr>
          <w:rFonts w:eastAsia="Times New Roman"/>
        </w:rPr>
        <w:t xml:space="preserve"> : La difficulté de calculer x étant donné xG sur une courbe elliptique cryptographiquement sécurisée</w:t>
      </w:r>
    </w:p>
    <w:p w14:paraId="1B62B278" w14:textId="77777777" w:rsidR="00AF659E" w:rsidRDefault="00AF659E" w:rsidP="00AF659E">
      <w:pPr>
        <w:numPr>
          <w:ilvl w:val="0"/>
          <w:numId w:val="4"/>
        </w:numPr>
        <w:spacing w:before="100" w:beforeAutospacing="1" w:after="100" w:afterAutospacing="1" w:line="240" w:lineRule="auto"/>
        <w:rPr>
          <w:rFonts w:eastAsia="Times New Roman"/>
        </w:rPr>
      </w:pPr>
      <w:r>
        <w:rPr>
          <w:rStyle w:val="Strong"/>
          <w:rFonts w:eastAsia="Times New Roman"/>
        </w:rPr>
        <w:t>Hypothèse du Decisional Diffie-Hellman (DDH)</w:t>
      </w:r>
      <w:r>
        <w:rPr>
          <w:rFonts w:eastAsia="Times New Roman"/>
        </w:rPr>
        <w:t xml:space="preserve"> : L'indistinguabilité de certains tuples cryptographiques</w:t>
      </w:r>
    </w:p>
    <w:p w14:paraId="34657924" w14:textId="77777777" w:rsidR="00AF659E" w:rsidRDefault="00AF659E" w:rsidP="00AF659E">
      <w:pPr>
        <w:numPr>
          <w:ilvl w:val="0"/>
          <w:numId w:val="4"/>
        </w:numPr>
        <w:spacing w:before="100" w:beforeAutospacing="1" w:after="100" w:afterAutospacing="1" w:line="240" w:lineRule="auto"/>
        <w:rPr>
          <w:rFonts w:eastAsia="Times New Roman"/>
        </w:rPr>
      </w:pPr>
      <w:r>
        <w:rPr>
          <w:rStyle w:val="Strong"/>
          <w:rFonts w:eastAsia="Times New Roman"/>
        </w:rPr>
        <w:t>Modèle de l'Oracle Aléatoire</w:t>
      </w:r>
      <w:r>
        <w:rPr>
          <w:rFonts w:eastAsia="Times New Roman"/>
        </w:rPr>
        <w:t xml:space="preserve"> : Pour l'analyse des fonctions de hachage cryptographiques</w:t>
      </w:r>
    </w:p>
    <w:p w14:paraId="33E521DC" w14:textId="77777777" w:rsidR="00AF659E" w:rsidRDefault="00AF659E">
      <w:pPr>
        <w:pStyle w:val="Heading3"/>
        <w:rPr>
          <w:rFonts w:eastAsia="Times New Roman"/>
        </w:rPr>
      </w:pPr>
      <w:r>
        <w:rPr>
          <w:rFonts w:eastAsia="Times New Roman"/>
        </w:rPr>
        <w:t>3.3.2 Preuves de Sécurité Formelles</w:t>
      </w:r>
    </w:p>
    <w:p w14:paraId="7850CF35" w14:textId="77777777" w:rsidR="00AF659E" w:rsidRDefault="00AF659E">
      <w:pPr>
        <w:pStyle w:val="Heading4"/>
        <w:rPr>
          <w:rFonts w:eastAsia="Times New Roman"/>
        </w:rPr>
      </w:pPr>
      <w:r>
        <w:rPr>
          <w:rFonts w:eastAsia="Times New Roman"/>
        </w:rPr>
        <w:t>Sécurité sous le Modèle Universal Composability (UC)</w:t>
      </w:r>
    </w:p>
    <w:p w14:paraId="4F2A1FBC" w14:textId="77777777" w:rsidR="00AF659E" w:rsidRDefault="00AF659E">
      <w:pPr>
        <w:pStyle w:val="NormalWeb"/>
      </w:pPr>
      <w:r>
        <w:t>Nous prouvons que notre protocole hybride satisfait la sécurité UC, garantissant que sa sécurité est préservée même lorsqu'il est composé arbitrairement avec d'autres protocoles. Cette propriété est cruciale pour les déploiements en environnement cloud où multiple protocoles interagissent.</w:t>
      </w:r>
    </w:p>
    <w:p w14:paraId="1E105653" w14:textId="77777777" w:rsidR="00AF659E" w:rsidRDefault="00AF659E">
      <w:pPr>
        <w:pStyle w:val="NormalWeb"/>
      </w:pPr>
      <w:r>
        <w:rPr>
          <w:rStyle w:val="Strong"/>
        </w:rPr>
        <w:t>Théorème 1</w:t>
      </w:r>
      <w:r>
        <w:t xml:space="preserve"> : </w:t>
      </w:r>
      <w:r>
        <w:rPr>
          <w:rStyle w:val="Emphasis"/>
        </w:rPr>
        <w:t>Le protocole PKI-MPC-ZKP est UC-sécurisé sous les hypothèses ECDLP et DDH, en présence d'un adversaire statique qui peut corrompre jusqu'à k-1 serveurs MPC sur n.</w:t>
      </w:r>
    </w:p>
    <w:p w14:paraId="73CC7E9F" w14:textId="77777777" w:rsidR="00AF659E" w:rsidRDefault="00AF659E">
      <w:pPr>
        <w:pStyle w:val="NormalWeb"/>
      </w:pPr>
      <w:r>
        <w:rPr>
          <w:rStyle w:val="Emphasis"/>
        </w:rPr>
        <w:t>Preuve (Esquisse)</w:t>
      </w:r>
      <w:r>
        <w:t xml:space="preserve"> : Nous construisons un simulateur S qui, étant donné l'accès à la fonctionnalité idéale, peut simuler parfaitement la vue de l'adversaire dans le monde réel. La preuve procède par construction d'une séquence d'expériences hybrides où la distribution des vues de l'adversaire reste computationnellement indistinguable à chaque étape.</w:t>
      </w:r>
    </w:p>
    <w:p w14:paraId="07229D1D" w14:textId="77777777" w:rsidR="00AF659E" w:rsidRDefault="00AF659E">
      <w:pPr>
        <w:pStyle w:val="Heading4"/>
        <w:rPr>
          <w:rFonts w:eastAsia="Times New Roman"/>
        </w:rPr>
      </w:pPr>
      <w:r>
        <w:rPr>
          <w:rFonts w:eastAsia="Times New Roman"/>
        </w:rPr>
        <w:t>Propriétés de Sécurité Garanties</w:t>
      </w:r>
    </w:p>
    <w:p w14:paraId="55F2250B" w14:textId="77777777" w:rsidR="00AF659E" w:rsidRDefault="00AF659E">
      <w:pPr>
        <w:pStyle w:val="NormalWeb"/>
      </w:pPr>
      <w:r>
        <w:rPr>
          <w:rStyle w:val="Strong"/>
        </w:rPr>
        <w:t>Confidentialité des Clés (Key Privacy)</w:t>
      </w:r>
      <w:r>
        <w:t xml:space="preserve"> Aucun adversaire ne peut apprendre d'information sur les clés privées distribuées au-delà de ce qui peut être déduit des clés publiques correspondantes.</w:t>
      </w:r>
    </w:p>
    <w:p w14:paraId="45840A16" w14:textId="77777777" w:rsidR="00AF659E" w:rsidRDefault="00AF659E">
      <w:pPr>
        <w:pStyle w:val="NormalWeb"/>
      </w:pPr>
      <w:r>
        <w:rPr>
          <w:rStyle w:val="Strong"/>
        </w:rPr>
        <w:t>Intégrité des Signatures (Signature Integrity)</w:t>
      </w:r>
      <w:r>
        <w:br/>
        <w:t>Toute signature produite par le système correspond authentiquement à l'autorisation collective du quorum de serveurs MPC, et aucune signature valide ne peut être forgée sans le seuil requis de parts de clés.</w:t>
      </w:r>
    </w:p>
    <w:p w14:paraId="7583C7D4" w14:textId="77777777" w:rsidR="00AF659E" w:rsidRDefault="00AF659E">
      <w:pPr>
        <w:pStyle w:val="NormalWeb"/>
      </w:pPr>
      <w:r>
        <w:rPr>
          <w:rStyle w:val="Strong"/>
        </w:rPr>
        <w:t>Non-Répudiation Distribuée</w:t>
      </w:r>
      <w:r>
        <w:t xml:space="preserve"> Les signatures produites par le système bénéficient de garanties de non-répudiation comparables aux signatures centralisées traditionnelles, mais avec une robustesse accrue contre la compromission.</w:t>
      </w:r>
    </w:p>
    <w:p w14:paraId="5B96080D" w14:textId="77777777" w:rsidR="00AF659E" w:rsidRDefault="00AF659E">
      <w:pPr>
        <w:pStyle w:val="Heading3"/>
        <w:rPr>
          <w:rFonts w:eastAsia="Times New Roman"/>
        </w:rPr>
      </w:pPr>
      <w:r>
        <w:rPr>
          <w:rFonts w:eastAsia="Times New Roman"/>
        </w:rPr>
        <w:t>3.3.3 Outils de Vérification Formelle</w:t>
      </w:r>
    </w:p>
    <w:p w14:paraId="25BFB41D" w14:textId="77777777" w:rsidR="00AF659E" w:rsidRDefault="00AF659E">
      <w:pPr>
        <w:pStyle w:val="Heading4"/>
        <w:rPr>
          <w:rFonts w:eastAsia="Times New Roman"/>
        </w:rPr>
      </w:pPr>
      <w:r>
        <w:rPr>
          <w:rFonts w:eastAsia="Times New Roman"/>
        </w:rPr>
        <w:t>Modélisation avec ProVerif</w:t>
      </w:r>
    </w:p>
    <w:p w14:paraId="466D8AC3" w14:textId="77777777" w:rsidR="00AF659E" w:rsidRDefault="00AF659E">
      <w:pPr>
        <w:pStyle w:val="NormalWeb"/>
      </w:pPr>
      <w:r>
        <w:t>Nous utilisons ProVerif, un vérificateur automatique de protocoles cryptographiques, pour analyser formellement les propriétés de sécurité de notre système. Le modèle ProVerif capture les interactions entre les différents composants et vérifie automatiquement des propriétés comme le secret des clés et l'authenticité des signatures.</w:t>
      </w:r>
    </w:p>
    <w:p w14:paraId="73712697" w14:textId="77777777" w:rsidR="00AF659E" w:rsidRDefault="00AF659E">
      <w:pPr>
        <w:pStyle w:val="HTMLPreformatted"/>
        <w:rPr>
          <w:rStyle w:val="HTMLCode"/>
        </w:rPr>
      </w:pPr>
      <w:r>
        <w:rPr>
          <w:rStyle w:val="HTMLCode"/>
        </w:rPr>
        <w:lastRenderedPageBreak/>
        <w:t>(* Modèle ProVerif simplifié *)</w:t>
      </w:r>
    </w:p>
    <w:p w14:paraId="56E26132" w14:textId="77777777" w:rsidR="00AF659E" w:rsidRDefault="00AF659E">
      <w:pPr>
        <w:pStyle w:val="HTMLPreformatted"/>
        <w:rPr>
          <w:rStyle w:val="HTMLCode"/>
        </w:rPr>
      </w:pPr>
      <w:r>
        <w:rPr>
          <w:rStyle w:val="HTMLCode"/>
        </w:rPr>
        <w:t>type key.</w:t>
      </w:r>
    </w:p>
    <w:p w14:paraId="45B79C0C" w14:textId="77777777" w:rsidR="00AF659E" w:rsidRDefault="00AF659E">
      <w:pPr>
        <w:pStyle w:val="HTMLPreformatted"/>
        <w:rPr>
          <w:rStyle w:val="HTMLCode"/>
        </w:rPr>
      </w:pPr>
      <w:r>
        <w:rPr>
          <w:rStyle w:val="HTMLCode"/>
        </w:rPr>
        <w:t>type signature.</w:t>
      </w:r>
    </w:p>
    <w:p w14:paraId="2FEA4CE1" w14:textId="77777777" w:rsidR="00AF659E" w:rsidRDefault="00AF659E">
      <w:pPr>
        <w:pStyle w:val="HTMLPreformatted"/>
        <w:rPr>
          <w:rStyle w:val="HTMLCode"/>
        </w:rPr>
      </w:pPr>
    </w:p>
    <w:p w14:paraId="4A942962" w14:textId="77777777" w:rsidR="00AF659E" w:rsidRDefault="00AF659E">
      <w:pPr>
        <w:pStyle w:val="HTMLPreformatted"/>
        <w:rPr>
          <w:rStyle w:val="HTMLCode"/>
        </w:rPr>
      </w:pPr>
      <w:r>
        <w:rPr>
          <w:rStyle w:val="HTMLCode"/>
        </w:rPr>
        <w:t>(* Processus CA Augmentée *)</w:t>
      </w:r>
    </w:p>
    <w:p w14:paraId="31045FAE" w14:textId="77777777" w:rsidR="00AF659E" w:rsidRDefault="00AF659E">
      <w:pPr>
        <w:pStyle w:val="HTMLPreformatted"/>
        <w:rPr>
          <w:rStyle w:val="HTMLCode"/>
        </w:rPr>
      </w:pPr>
      <w:r>
        <w:rPr>
          <w:rStyle w:val="HTMLCode"/>
        </w:rPr>
        <w:t>let CA_process =</w:t>
      </w:r>
    </w:p>
    <w:p w14:paraId="0FD77034" w14:textId="77777777" w:rsidR="00AF659E" w:rsidRDefault="00AF659E">
      <w:pPr>
        <w:pStyle w:val="HTMLPreformatted"/>
        <w:rPr>
          <w:rStyle w:val="HTMLCode"/>
        </w:rPr>
      </w:pPr>
      <w:r>
        <w:rPr>
          <w:rStyle w:val="HTMLCode"/>
        </w:rPr>
        <w:t xml:space="preserve">    in(c_request, (identity: bitstring, pubkey: key));</w:t>
      </w:r>
    </w:p>
    <w:p w14:paraId="56F83423" w14:textId="77777777" w:rsidR="00AF659E" w:rsidRDefault="00AF659E">
      <w:pPr>
        <w:pStyle w:val="HTMLPreformatted"/>
        <w:rPr>
          <w:rStyle w:val="HTMLCode"/>
        </w:rPr>
      </w:pPr>
      <w:r>
        <w:rPr>
          <w:rStyle w:val="HTMLCode"/>
        </w:rPr>
        <w:t xml:space="preserve">    (* Vérification d'identité *)</w:t>
      </w:r>
    </w:p>
    <w:p w14:paraId="0AF4F3DE" w14:textId="77777777" w:rsidR="00AF659E" w:rsidRDefault="00AF659E">
      <w:pPr>
        <w:pStyle w:val="HTMLPreformatted"/>
        <w:rPr>
          <w:rStyle w:val="HTMLCode"/>
        </w:rPr>
      </w:pPr>
      <w:r>
        <w:rPr>
          <w:rStyle w:val="HTMLCode"/>
        </w:rPr>
        <w:t xml:space="preserve">    out(c_mpc, (identity, pubkey));</w:t>
      </w:r>
    </w:p>
    <w:p w14:paraId="723C3442" w14:textId="77777777" w:rsidR="00AF659E" w:rsidRDefault="00AF659E">
      <w:pPr>
        <w:pStyle w:val="HTMLPreformatted"/>
        <w:rPr>
          <w:rStyle w:val="HTMLCode"/>
        </w:rPr>
      </w:pPr>
      <w:r>
        <w:rPr>
          <w:rStyle w:val="HTMLCode"/>
        </w:rPr>
        <w:t xml:space="preserve">    in(c_mpc, sig: signature);</w:t>
      </w:r>
    </w:p>
    <w:p w14:paraId="0AADB30D" w14:textId="77777777" w:rsidR="00AF659E" w:rsidRDefault="00AF659E">
      <w:pPr>
        <w:pStyle w:val="HTMLPreformatted"/>
        <w:rPr>
          <w:rStyle w:val="HTMLCode"/>
        </w:rPr>
      </w:pPr>
      <w:r>
        <w:rPr>
          <w:rStyle w:val="HTMLCode"/>
        </w:rPr>
        <w:t xml:space="preserve">    out(c_response, (identity, pubkey, sig)).</w:t>
      </w:r>
    </w:p>
    <w:p w14:paraId="44BAC2ED" w14:textId="77777777" w:rsidR="00AF659E" w:rsidRDefault="00AF659E">
      <w:pPr>
        <w:pStyle w:val="HTMLPreformatted"/>
        <w:rPr>
          <w:rStyle w:val="HTMLCode"/>
        </w:rPr>
      </w:pPr>
    </w:p>
    <w:p w14:paraId="4BD4E9B2" w14:textId="77777777" w:rsidR="00AF659E" w:rsidRDefault="00AF659E">
      <w:pPr>
        <w:pStyle w:val="HTMLPreformatted"/>
        <w:rPr>
          <w:rStyle w:val="HTMLCode"/>
        </w:rPr>
      </w:pPr>
      <w:r>
        <w:rPr>
          <w:rStyle w:val="HTMLCode"/>
        </w:rPr>
        <w:t>(* Processus Serveur MPC *)</w:t>
      </w:r>
    </w:p>
    <w:p w14:paraId="42162536" w14:textId="77777777" w:rsidR="00AF659E" w:rsidRDefault="00AF659E">
      <w:pPr>
        <w:pStyle w:val="HTMLPreformatted"/>
        <w:rPr>
          <w:rStyle w:val="HTMLCode"/>
        </w:rPr>
      </w:pPr>
      <w:r>
        <w:rPr>
          <w:rStyle w:val="HTMLCode"/>
        </w:rPr>
        <w:t>let MPC_server =</w:t>
      </w:r>
    </w:p>
    <w:p w14:paraId="669E5065" w14:textId="77777777" w:rsidR="00AF659E" w:rsidRDefault="00AF659E">
      <w:pPr>
        <w:pStyle w:val="HTMLPreformatted"/>
        <w:rPr>
          <w:rStyle w:val="HTMLCode"/>
        </w:rPr>
      </w:pPr>
      <w:r>
        <w:rPr>
          <w:rStyle w:val="HTMLCode"/>
        </w:rPr>
        <w:t xml:space="preserve">    in(c_mpc, (id: bitstring, pk: key));</w:t>
      </w:r>
    </w:p>
    <w:p w14:paraId="627F3357" w14:textId="77777777" w:rsidR="00AF659E" w:rsidRDefault="00AF659E">
      <w:pPr>
        <w:pStyle w:val="HTMLPreformatted"/>
        <w:rPr>
          <w:rStyle w:val="HTMLCode"/>
        </w:rPr>
      </w:pPr>
      <w:r>
        <w:rPr>
          <w:rStyle w:val="HTMLCode"/>
        </w:rPr>
        <w:t xml:space="preserve">    (* Calcul de signature à seuil *)</w:t>
      </w:r>
    </w:p>
    <w:p w14:paraId="44E18C16" w14:textId="77777777" w:rsidR="00AF659E" w:rsidRDefault="00AF659E">
      <w:pPr>
        <w:pStyle w:val="HTMLPreformatted"/>
        <w:rPr>
          <w:rStyle w:val="HTMLCode"/>
        </w:rPr>
      </w:pPr>
      <w:r>
        <w:rPr>
          <w:rStyle w:val="HTMLCode"/>
        </w:rPr>
        <w:t xml:space="preserve">    new r: bitstring;</w:t>
      </w:r>
    </w:p>
    <w:p w14:paraId="1BC80F05" w14:textId="77777777" w:rsidR="00AF659E" w:rsidRDefault="00AF659E">
      <w:pPr>
        <w:pStyle w:val="HTMLPreformatted"/>
        <w:rPr>
          <w:rStyle w:val="HTMLCode"/>
        </w:rPr>
      </w:pPr>
      <w:r>
        <w:rPr>
          <w:rStyle w:val="HTMLCode"/>
        </w:rPr>
        <w:t xml:space="preserve">    let partial_sig = sign(hash((id, pk)), share_key, r) in</w:t>
      </w:r>
    </w:p>
    <w:p w14:paraId="64F5034A" w14:textId="77777777" w:rsidR="00AF659E" w:rsidRDefault="00AF659E">
      <w:pPr>
        <w:pStyle w:val="HTMLPreformatted"/>
        <w:rPr>
          <w:rStyle w:val="HTMLCode"/>
        </w:rPr>
      </w:pPr>
      <w:r>
        <w:rPr>
          <w:rStyle w:val="HTMLCode"/>
        </w:rPr>
        <w:t xml:space="preserve">    out(c_mpc_internal, partial_sig).</w:t>
      </w:r>
    </w:p>
    <w:p w14:paraId="268C0ADF" w14:textId="77777777" w:rsidR="00AF659E" w:rsidRDefault="00AF659E">
      <w:pPr>
        <w:pStyle w:val="Heading4"/>
        <w:rPr>
          <w:rFonts w:eastAsia="Times New Roman"/>
        </w:rPr>
      </w:pPr>
      <w:r>
        <w:rPr>
          <w:rFonts w:eastAsia="Times New Roman"/>
        </w:rPr>
        <w:t>Validation avec Tamarin Prover</w:t>
      </w:r>
    </w:p>
    <w:p w14:paraId="6589D072" w14:textId="77777777" w:rsidR="00AF659E" w:rsidRDefault="00AF659E">
      <w:pPr>
        <w:pStyle w:val="NormalWeb"/>
      </w:pPr>
      <w:r>
        <w:t>Tamarin Prover nous permet de modéliser et vérifier des protocoles de sécurité complexes avec des propriétés temporelles. Nous l'utilisons pour analyser les propriétés de vivacité et de sécurité de notre système dans des scénarios d'exécution concurrente.</w:t>
      </w:r>
    </w:p>
    <w:p w14:paraId="730E9188" w14:textId="77777777" w:rsidR="00AF659E" w:rsidRDefault="00AF659E">
      <w:pPr>
        <w:pStyle w:val="Heading3"/>
        <w:rPr>
          <w:rFonts w:eastAsia="Times New Roman"/>
        </w:rPr>
      </w:pPr>
      <w:r>
        <w:rPr>
          <w:rFonts w:eastAsia="Times New Roman"/>
        </w:rPr>
        <w:t>3.3.4 Analyse de Résistance aux Attaques</w:t>
      </w:r>
    </w:p>
    <w:p w14:paraId="10F212BC" w14:textId="77777777" w:rsidR="00AF659E" w:rsidRDefault="00AF659E">
      <w:pPr>
        <w:pStyle w:val="Heading4"/>
        <w:rPr>
          <w:rFonts w:eastAsia="Times New Roman"/>
        </w:rPr>
      </w:pPr>
      <w:r>
        <w:rPr>
          <w:rFonts w:eastAsia="Times New Roman"/>
        </w:rPr>
        <w:t>Résistance aux Attaques Classiques</w:t>
      </w:r>
    </w:p>
    <w:p w14:paraId="31C5613B" w14:textId="77777777" w:rsidR="00AF659E" w:rsidRDefault="00AF659E">
      <w:pPr>
        <w:pStyle w:val="NormalWeb"/>
      </w:pPr>
      <w:r>
        <w:rPr>
          <w:rStyle w:val="Strong"/>
        </w:rPr>
        <w:t>Attaques par Compromission de Clés</w:t>
      </w:r>
      <w:r>
        <w:t xml:space="preserve"> L'architecture résiste naturellement aux attaques par compromission de clés grâce à la distribution des secrets. Une attaque réussie nécessiterait la compromission simultanée d'au moins k serveurs MPC, ce qui est exponentiellement plus difficile qu'une attaque contre un système centralisé.</w:t>
      </w:r>
    </w:p>
    <w:p w14:paraId="7C2FF157" w14:textId="77777777" w:rsidR="00AF659E" w:rsidRDefault="00AF659E">
      <w:pPr>
        <w:pStyle w:val="NormalWeb"/>
      </w:pPr>
      <w:r>
        <w:rPr>
          <w:rStyle w:val="Strong"/>
        </w:rPr>
        <w:t>Attaques Man-in-the-Middle</w:t>
      </w:r>
      <w:r>
        <w:t xml:space="preserve"> Les ZKP rendent les attaques MITM considérablement plus difficiles car l'attaquant ne peut pas simplement intercepter et rejouer des credentials. Il devrait être capable de forger des preuves ZKP valides, ce qui est computationnellement impossible sous nos hypothèses cryptographiques.</w:t>
      </w:r>
    </w:p>
    <w:p w14:paraId="564A9FCC" w14:textId="77777777" w:rsidR="00AF659E" w:rsidRDefault="00AF659E">
      <w:pPr>
        <w:pStyle w:val="NormalWeb"/>
      </w:pPr>
      <w:r>
        <w:rPr>
          <w:rStyle w:val="Strong"/>
        </w:rPr>
        <w:t>Attaques par Déni de Service Distribué</w:t>
      </w:r>
      <w:r>
        <w:t xml:space="preserve"> La nature distribuée du système offre une résilience naturelle contre les attaques DDoS. La compromission ou l'indisponibilité de n-k serveurs MPC n'affecte pas la capacité du système à continuer de fonctionner.</w:t>
      </w:r>
    </w:p>
    <w:p w14:paraId="07E1456E" w14:textId="77777777" w:rsidR="00AF659E" w:rsidRDefault="00AF659E">
      <w:pPr>
        <w:pStyle w:val="Heading4"/>
        <w:rPr>
          <w:rFonts w:eastAsia="Times New Roman"/>
        </w:rPr>
      </w:pPr>
      <w:r>
        <w:rPr>
          <w:rFonts w:eastAsia="Times New Roman"/>
        </w:rPr>
        <w:t>Préparation aux Menaces Quantiques</w:t>
      </w:r>
    </w:p>
    <w:p w14:paraId="68314B26" w14:textId="77777777" w:rsidR="00AF659E" w:rsidRDefault="00AF659E">
      <w:pPr>
        <w:pStyle w:val="NormalWeb"/>
      </w:pPr>
      <w:r>
        <w:t>L'architecture est conçue pour faciliter la transition vers des algorithmes post-quantiques. Les protocoles MPC peuvent être adaptés pour utiliser des primitives résistantes aux attaques quantiques sans modification fondamentale de l'architecture globale.</w:t>
      </w:r>
    </w:p>
    <w:p w14:paraId="461CE7DE" w14:textId="77777777" w:rsidR="00AF659E" w:rsidRDefault="00AF659E">
      <w:pPr>
        <w:pStyle w:val="NormalWeb"/>
      </w:pPr>
      <w:r>
        <w:rPr>
          <w:rStyle w:val="Strong"/>
        </w:rPr>
        <w:t>Migration Progressive</w:t>
      </w:r>
      <w:r>
        <w:t xml:space="preserve"> La modularité du système permet une migration progressive vers la cryptographie post-quantique, service par service, sans interruption des opérations existantes.</w:t>
      </w:r>
    </w:p>
    <w:p w14:paraId="5DF7FB2D" w14:textId="77777777" w:rsidR="00AF659E" w:rsidRDefault="00AF659E">
      <w:pPr>
        <w:pStyle w:val="Heading2"/>
        <w:rPr>
          <w:rFonts w:eastAsia="Times New Roman"/>
        </w:rPr>
      </w:pPr>
      <w:r>
        <w:rPr>
          <w:rFonts w:eastAsia="Times New Roman"/>
        </w:rPr>
        <w:lastRenderedPageBreak/>
        <w:t>3.4 Comparaison avec les Approches Existantes</w:t>
      </w:r>
    </w:p>
    <w:p w14:paraId="0D6BCAC9" w14:textId="77777777" w:rsidR="00AF659E" w:rsidRDefault="00AF659E">
      <w:pPr>
        <w:pStyle w:val="Heading3"/>
        <w:rPr>
          <w:rFonts w:eastAsia="Times New Roman"/>
        </w:rPr>
      </w:pPr>
      <w:r>
        <w:rPr>
          <w:rFonts w:eastAsia="Times New Roman"/>
        </w:rPr>
        <w:t>3.4.1 Analyse Comparative des Solutions</w:t>
      </w:r>
    </w:p>
    <w:p w14:paraId="7B4F47E6" w14:textId="77777777" w:rsidR="00AF659E" w:rsidRDefault="00AF659E">
      <w:pPr>
        <w:pStyle w:val="NormalWeb"/>
      </w:pPr>
      <w:r>
        <w:t>Pour contextualiser notre contribution, nous présentons une analyse comparative détaillée avec les principales approches existantes pour sécuriser l'authentification PKI.</w:t>
      </w:r>
    </w:p>
    <w:p w14:paraId="2B863C51" w14:textId="77777777" w:rsidR="00AF659E" w:rsidRDefault="00AF659E">
      <w:pPr>
        <w:pStyle w:val="Heading4"/>
        <w:rPr>
          <w:rFonts w:eastAsia="Times New Roman"/>
        </w:rPr>
      </w:pPr>
      <w:r>
        <w:rPr>
          <w:rFonts w:eastAsia="Times New Roman"/>
        </w:rPr>
        <w:t>Tableau Comparatif des Approches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7"/>
        <w:gridCol w:w="1362"/>
        <w:gridCol w:w="1324"/>
        <w:gridCol w:w="1420"/>
        <w:gridCol w:w="1382"/>
        <w:gridCol w:w="1371"/>
      </w:tblGrid>
      <w:tr w:rsidR="00AF659E" w14:paraId="115E2E17" w14:textId="77777777">
        <w:trPr>
          <w:tblHeader/>
          <w:tblCellSpacing w:w="15" w:type="dxa"/>
        </w:trPr>
        <w:tc>
          <w:tcPr>
            <w:tcW w:w="0" w:type="auto"/>
            <w:vAlign w:val="center"/>
            <w:hideMark/>
          </w:tcPr>
          <w:p w14:paraId="57C4A958" w14:textId="77777777" w:rsidR="00AF659E" w:rsidRDefault="00AF659E">
            <w:pPr>
              <w:jc w:val="center"/>
              <w:rPr>
                <w:rFonts w:eastAsia="Times New Roman"/>
                <w:b/>
                <w:bCs/>
              </w:rPr>
            </w:pPr>
            <w:r>
              <w:rPr>
                <w:rFonts w:eastAsia="Times New Roman"/>
                <w:b/>
                <w:bCs/>
              </w:rPr>
              <w:t>Critère</w:t>
            </w:r>
          </w:p>
        </w:tc>
        <w:tc>
          <w:tcPr>
            <w:tcW w:w="0" w:type="auto"/>
            <w:vAlign w:val="center"/>
            <w:hideMark/>
          </w:tcPr>
          <w:p w14:paraId="2EA17E78" w14:textId="77777777" w:rsidR="00AF659E" w:rsidRDefault="00AF659E">
            <w:pPr>
              <w:jc w:val="center"/>
              <w:rPr>
                <w:rFonts w:eastAsia="Times New Roman"/>
                <w:b/>
                <w:bCs/>
              </w:rPr>
            </w:pPr>
            <w:r>
              <w:rPr>
                <w:rFonts w:eastAsia="Times New Roman"/>
                <w:b/>
                <w:bCs/>
              </w:rPr>
              <w:t>PKI Traditional</w:t>
            </w:r>
          </w:p>
        </w:tc>
        <w:tc>
          <w:tcPr>
            <w:tcW w:w="0" w:type="auto"/>
            <w:vAlign w:val="center"/>
            <w:hideMark/>
          </w:tcPr>
          <w:p w14:paraId="047D91D9" w14:textId="77777777" w:rsidR="00AF659E" w:rsidRDefault="00AF659E">
            <w:pPr>
              <w:jc w:val="center"/>
              <w:rPr>
                <w:rFonts w:eastAsia="Times New Roman"/>
                <w:b/>
                <w:bCs/>
              </w:rPr>
            </w:pPr>
            <w:r>
              <w:rPr>
                <w:rFonts w:eastAsia="Times New Roman"/>
                <w:b/>
                <w:bCs/>
              </w:rPr>
              <w:t>Multi-Signature</w:t>
            </w:r>
          </w:p>
        </w:tc>
        <w:tc>
          <w:tcPr>
            <w:tcW w:w="0" w:type="auto"/>
            <w:vAlign w:val="center"/>
            <w:hideMark/>
          </w:tcPr>
          <w:p w14:paraId="6050D38C" w14:textId="77777777" w:rsidR="00AF659E" w:rsidRDefault="00AF659E">
            <w:pPr>
              <w:jc w:val="center"/>
              <w:rPr>
                <w:rFonts w:eastAsia="Times New Roman"/>
                <w:b/>
                <w:bCs/>
              </w:rPr>
            </w:pPr>
            <w:r>
              <w:rPr>
                <w:rFonts w:eastAsia="Times New Roman"/>
                <w:b/>
                <w:bCs/>
              </w:rPr>
              <w:t>Blockchain PKI</w:t>
            </w:r>
          </w:p>
        </w:tc>
        <w:tc>
          <w:tcPr>
            <w:tcW w:w="0" w:type="auto"/>
            <w:vAlign w:val="center"/>
            <w:hideMark/>
          </w:tcPr>
          <w:p w14:paraId="17D09806" w14:textId="77777777" w:rsidR="00AF659E" w:rsidRDefault="00AF659E">
            <w:pPr>
              <w:jc w:val="center"/>
              <w:rPr>
                <w:rFonts w:eastAsia="Times New Roman"/>
                <w:b/>
                <w:bCs/>
              </w:rPr>
            </w:pPr>
            <w:r>
              <w:rPr>
                <w:rFonts w:eastAsia="Times New Roman"/>
                <w:b/>
                <w:bCs/>
              </w:rPr>
              <w:t>HSM Distribués</w:t>
            </w:r>
          </w:p>
        </w:tc>
        <w:tc>
          <w:tcPr>
            <w:tcW w:w="0" w:type="auto"/>
            <w:vAlign w:val="center"/>
            <w:hideMark/>
          </w:tcPr>
          <w:p w14:paraId="3864E2D1" w14:textId="77777777" w:rsidR="00AF659E" w:rsidRDefault="00AF659E">
            <w:pPr>
              <w:jc w:val="center"/>
              <w:rPr>
                <w:rFonts w:eastAsia="Times New Roman"/>
                <w:b/>
                <w:bCs/>
              </w:rPr>
            </w:pPr>
            <w:r>
              <w:rPr>
                <w:rFonts w:eastAsia="Times New Roman"/>
                <w:b/>
                <w:bCs/>
              </w:rPr>
              <w:t>Notre Approche</w:t>
            </w:r>
          </w:p>
        </w:tc>
      </w:tr>
      <w:tr w:rsidR="00AF659E" w14:paraId="6B2058AC" w14:textId="77777777">
        <w:trPr>
          <w:tblCellSpacing w:w="15" w:type="dxa"/>
        </w:trPr>
        <w:tc>
          <w:tcPr>
            <w:tcW w:w="0" w:type="auto"/>
            <w:vAlign w:val="center"/>
            <w:hideMark/>
          </w:tcPr>
          <w:p w14:paraId="651AEABD" w14:textId="77777777" w:rsidR="00AF659E" w:rsidRDefault="00AF659E">
            <w:pPr>
              <w:rPr>
                <w:rFonts w:eastAsia="Times New Roman"/>
              </w:rPr>
            </w:pPr>
            <w:r>
              <w:rPr>
                <w:rStyle w:val="Strong"/>
                <w:rFonts w:eastAsia="Times New Roman"/>
              </w:rPr>
              <w:t>Point de défaillance unique</w:t>
            </w:r>
          </w:p>
        </w:tc>
        <w:tc>
          <w:tcPr>
            <w:tcW w:w="0" w:type="auto"/>
            <w:vAlign w:val="center"/>
            <w:hideMark/>
          </w:tcPr>
          <w:p w14:paraId="54AC5250" w14:textId="77777777" w:rsidR="00AF659E" w:rsidRDefault="00AF659E">
            <w:pPr>
              <w:rPr>
                <w:rFonts w:eastAsia="Times New Roman"/>
              </w:rPr>
            </w:pPr>
            <w:r>
              <w:rPr>
                <w:rFonts w:eastAsia="Times New Roman"/>
              </w:rPr>
              <w:t>Élevé</w:t>
            </w:r>
          </w:p>
        </w:tc>
        <w:tc>
          <w:tcPr>
            <w:tcW w:w="0" w:type="auto"/>
            <w:vAlign w:val="center"/>
            <w:hideMark/>
          </w:tcPr>
          <w:p w14:paraId="71DEB85A" w14:textId="77777777" w:rsidR="00AF659E" w:rsidRDefault="00AF659E">
            <w:pPr>
              <w:rPr>
                <w:rFonts w:eastAsia="Times New Roman"/>
              </w:rPr>
            </w:pPr>
            <w:r>
              <w:rPr>
                <w:rFonts w:eastAsia="Times New Roman"/>
              </w:rPr>
              <w:t>Modéré</w:t>
            </w:r>
          </w:p>
        </w:tc>
        <w:tc>
          <w:tcPr>
            <w:tcW w:w="0" w:type="auto"/>
            <w:vAlign w:val="center"/>
            <w:hideMark/>
          </w:tcPr>
          <w:p w14:paraId="0853471D" w14:textId="77777777" w:rsidR="00AF659E" w:rsidRDefault="00AF659E">
            <w:pPr>
              <w:rPr>
                <w:rFonts w:eastAsia="Times New Roman"/>
              </w:rPr>
            </w:pPr>
            <w:r>
              <w:rPr>
                <w:rFonts w:eastAsia="Times New Roman"/>
              </w:rPr>
              <w:t>Faible</w:t>
            </w:r>
          </w:p>
        </w:tc>
        <w:tc>
          <w:tcPr>
            <w:tcW w:w="0" w:type="auto"/>
            <w:vAlign w:val="center"/>
            <w:hideMark/>
          </w:tcPr>
          <w:p w14:paraId="7DDBE518" w14:textId="77777777" w:rsidR="00AF659E" w:rsidRDefault="00AF659E">
            <w:pPr>
              <w:rPr>
                <w:rFonts w:eastAsia="Times New Roman"/>
              </w:rPr>
            </w:pPr>
            <w:r>
              <w:rPr>
                <w:rFonts w:eastAsia="Times New Roman"/>
              </w:rPr>
              <w:t>Modéré</w:t>
            </w:r>
          </w:p>
        </w:tc>
        <w:tc>
          <w:tcPr>
            <w:tcW w:w="0" w:type="auto"/>
            <w:vAlign w:val="center"/>
            <w:hideMark/>
          </w:tcPr>
          <w:p w14:paraId="77F0C772" w14:textId="77777777" w:rsidR="00AF659E" w:rsidRDefault="00AF659E">
            <w:pPr>
              <w:rPr>
                <w:rFonts w:eastAsia="Times New Roman"/>
              </w:rPr>
            </w:pPr>
            <w:r>
              <w:rPr>
                <w:rFonts w:eastAsia="Times New Roman"/>
              </w:rPr>
              <w:t>Très faible</w:t>
            </w:r>
          </w:p>
        </w:tc>
      </w:tr>
      <w:tr w:rsidR="00AF659E" w14:paraId="6D665C94" w14:textId="77777777">
        <w:trPr>
          <w:tblCellSpacing w:w="15" w:type="dxa"/>
        </w:trPr>
        <w:tc>
          <w:tcPr>
            <w:tcW w:w="0" w:type="auto"/>
            <w:vAlign w:val="center"/>
            <w:hideMark/>
          </w:tcPr>
          <w:p w14:paraId="52F6ACDA" w14:textId="77777777" w:rsidR="00AF659E" w:rsidRDefault="00AF659E">
            <w:pPr>
              <w:rPr>
                <w:rFonts w:eastAsia="Times New Roman"/>
              </w:rPr>
            </w:pPr>
            <w:r>
              <w:rPr>
                <w:rStyle w:val="Strong"/>
                <w:rFonts w:eastAsia="Times New Roman"/>
              </w:rPr>
              <w:t>Scalabilité</w:t>
            </w:r>
          </w:p>
        </w:tc>
        <w:tc>
          <w:tcPr>
            <w:tcW w:w="0" w:type="auto"/>
            <w:vAlign w:val="center"/>
            <w:hideMark/>
          </w:tcPr>
          <w:p w14:paraId="5C521676" w14:textId="77777777" w:rsidR="00AF659E" w:rsidRDefault="00AF659E">
            <w:pPr>
              <w:rPr>
                <w:rFonts w:eastAsia="Times New Roman"/>
              </w:rPr>
            </w:pPr>
            <w:r>
              <w:rPr>
                <w:rFonts w:eastAsia="Times New Roman"/>
              </w:rPr>
              <w:t>Bonne</w:t>
            </w:r>
          </w:p>
        </w:tc>
        <w:tc>
          <w:tcPr>
            <w:tcW w:w="0" w:type="auto"/>
            <w:vAlign w:val="center"/>
            <w:hideMark/>
          </w:tcPr>
          <w:p w14:paraId="5434A2F4" w14:textId="77777777" w:rsidR="00AF659E" w:rsidRDefault="00AF659E">
            <w:pPr>
              <w:rPr>
                <w:rFonts w:eastAsia="Times New Roman"/>
              </w:rPr>
            </w:pPr>
            <w:r>
              <w:rPr>
                <w:rFonts w:eastAsia="Times New Roman"/>
              </w:rPr>
              <w:t>Limitée</w:t>
            </w:r>
          </w:p>
        </w:tc>
        <w:tc>
          <w:tcPr>
            <w:tcW w:w="0" w:type="auto"/>
            <w:vAlign w:val="center"/>
            <w:hideMark/>
          </w:tcPr>
          <w:p w14:paraId="025C4EAD" w14:textId="77777777" w:rsidR="00AF659E" w:rsidRDefault="00AF659E">
            <w:pPr>
              <w:rPr>
                <w:rFonts w:eastAsia="Times New Roman"/>
              </w:rPr>
            </w:pPr>
            <w:r>
              <w:rPr>
                <w:rFonts w:eastAsia="Times New Roman"/>
              </w:rPr>
              <w:t>Variable</w:t>
            </w:r>
          </w:p>
        </w:tc>
        <w:tc>
          <w:tcPr>
            <w:tcW w:w="0" w:type="auto"/>
            <w:vAlign w:val="center"/>
            <w:hideMark/>
          </w:tcPr>
          <w:p w14:paraId="2A42E2C5" w14:textId="77777777" w:rsidR="00AF659E" w:rsidRDefault="00AF659E">
            <w:pPr>
              <w:rPr>
                <w:rFonts w:eastAsia="Times New Roman"/>
              </w:rPr>
            </w:pPr>
            <w:r>
              <w:rPr>
                <w:rFonts w:eastAsia="Times New Roman"/>
              </w:rPr>
              <w:t>Bonne</w:t>
            </w:r>
          </w:p>
        </w:tc>
        <w:tc>
          <w:tcPr>
            <w:tcW w:w="0" w:type="auto"/>
            <w:vAlign w:val="center"/>
            <w:hideMark/>
          </w:tcPr>
          <w:p w14:paraId="63026194" w14:textId="77777777" w:rsidR="00AF659E" w:rsidRDefault="00AF659E">
            <w:pPr>
              <w:rPr>
                <w:rFonts w:eastAsia="Times New Roman"/>
              </w:rPr>
            </w:pPr>
            <w:r>
              <w:rPr>
                <w:rFonts w:eastAsia="Times New Roman"/>
              </w:rPr>
              <w:t>Excellente</w:t>
            </w:r>
          </w:p>
        </w:tc>
      </w:tr>
      <w:tr w:rsidR="00AF659E" w14:paraId="5697CA83" w14:textId="77777777">
        <w:trPr>
          <w:tblCellSpacing w:w="15" w:type="dxa"/>
        </w:trPr>
        <w:tc>
          <w:tcPr>
            <w:tcW w:w="0" w:type="auto"/>
            <w:vAlign w:val="center"/>
            <w:hideMark/>
          </w:tcPr>
          <w:p w14:paraId="0AFA969A" w14:textId="77777777" w:rsidR="00AF659E" w:rsidRDefault="00AF659E">
            <w:pPr>
              <w:rPr>
                <w:rFonts w:eastAsia="Times New Roman"/>
              </w:rPr>
            </w:pPr>
            <w:r>
              <w:rPr>
                <w:rStyle w:val="Strong"/>
                <w:rFonts w:eastAsia="Times New Roman"/>
              </w:rPr>
              <w:t>Confidentialité</w:t>
            </w:r>
          </w:p>
        </w:tc>
        <w:tc>
          <w:tcPr>
            <w:tcW w:w="0" w:type="auto"/>
            <w:vAlign w:val="center"/>
            <w:hideMark/>
          </w:tcPr>
          <w:p w14:paraId="4A703696" w14:textId="77777777" w:rsidR="00AF659E" w:rsidRDefault="00AF659E">
            <w:pPr>
              <w:rPr>
                <w:rFonts w:eastAsia="Times New Roman"/>
              </w:rPr>
            </w:pPr>
            <w:r>
              <w:rPr>
                <w:rFonts w:eastAsia="Times New Roman"/>
              </w:rPr>
              <w:t>Modérée</w:t>
            </w:r>
          </w:p>
        </w:tc>
        <w:tc>
          <w:tcPr>
            <w:tcW w:w="0" w:type="auto"/>
            <w:vAlign w:val="center"/>
            <w:hideMark/>
          </w:tcPr>
          <w:p w14:paraId="4DEAEB83" w14:textId="77777777" w:rsidR="00AF659E" w:rsidRDefault="00AF659E">
            <w:pPr>
              <w:rPr>
                <w:rFonts w:eastAsia="Times New Roman"/>
              </w:rPr>
            </w:pPr>
            <w:r>
              <w:rPr>
                <w:rFonts w:eastAsia="Times New Roman"/>
              </w:rPr>
              <w:t>Modérée</w:t>
            </w:r>
          </w:p>
        </w:tc>
        <w:tc>
          <w:tcPr>
            <w:tcW w:w="0" w:type="auto"/>
            <w:vAlign w:val="center"/>
            <w:hideMark/>
          </w:tcPr>
          <w:p w14:paraId="4859E452" w14:textId="77777777" w:rsidR="00AF659E" w:rsidRDefault="00AF659E">
            <w:pPr>
              <w:rPr>
                <w:rFonts w:eastAsia="Times New Roman"/>
              </w:rPr>
            </w:pPr>
            <w:r>
              <w:rPr>
                <w:rFonts w:eastAsia="Times New Roman"/>
              </w:rPr>
              <w:t>Faible</w:t>
            </w:r>
          </w:p>
        </w:tc>
        <w:tc>
          <w:tcPr>
            <w:tcW w:w="0" w:type="auto"/>
            <w:vAlign w:val="center"/>
            <w:hideMark/>
          </w:tcPr>
          <w:p w14:paraId="3B98EE90" w14:textId="77777777" w:rsidR="00AF659E" w:rsidRDefault="00AF659E">
            <w:pPr>
              <w:rPr>
                <w:rFonts w:eastAsia="Times New Roman"/>
              </w:rPr>
            </w:pPr>
            <w:r>
              <w:rPr>
                <w:rFonts w:eastAsia="Times New Roman"/>
              </w:rPr>
              <w:t>Élevée</w:t>
            </w:r>
          </w:p>
        </w:tc>
        <w:tc>
          <w:tcPr>
            <w:tcW w:w="0" w:type="auto"/>
            <w:vAlign w:val="center"/>
            <w:hideMark/>
          </w:tcPr>
          <w:p w14:paraId="7504DCCE" w14:textId="77777777" w:rsidR="00AF659E" w:rsidRDefault="00AF659E">
            <w:pPr>
              <w:rPr>
                <w:rFonts w:eastAsia="Times New Roman"/>
              </w:rPr>
            </w:pPr>
            <w:r>
              <w:rPr>
                <w:rFonts w:eastAsia="Times New Roman"/>
              </w:rPr>
              <w:t>Très élevée</w:t>
            </w:r>
          </w:p>
        </w:tc>
      </w:tr>
      <w:tr w:rsidR="00AF659E" w14:paraId="5D9E30C3" w14:textId="77777777">
        <w:trPr>
          <w:tblCellSpacing w:w="15" w:type="dxa"/>
        </w:trPr>
        <w:tc>
          <w:tcPr>
            <w:tcW w:w="0" w:type="auto"/>
            <w:vAlign w:val="center"/>
            <w:hideMark/>
          </w:tcPr>
          <w:p w14:paraId="1840F136" w14:textId="77777777" w:rsidR="00AF659E" w:rsidRDefault="00AF659E">
            <w:pPr>
              <w:rPr>
                <w:rFonts w:eastAsia="Times New Roman"/>
              </w:rPr>
            </w:pPr>
            <w:r>
              <w:rPr>
                <w:rStyle w:val="Strong"/>
                <w:rFonts w:eastAsia="Times New Roman"/>
              </w:rPr>
              <w:t>Compatibilité standards</w:t>
            </w:r>
          </w:p>
        </w:tc>
        <w:tc>
          <w:tcPr>
            <w:tcW w:w="0" w:type="auto"/>
            <w:vAlign w:val="center"/>
            <w:hideMark/>
          </w:tcPr>
          <w:p w14:paraId="0E72747E" w14:textId="77777777" w:rsidR="00AF659E" w:rsidRDefault="00AF659E">
            <w:pPr>
              <w:rPr>
                <w:rFonts w:eastAsia="Times New Roman"/>
              </w:rPr>
            </w:pPr>
            <w:r>
              <w:rPr>
                <w:rFonts w:eastAsia="Times New Roman"/>
              </w:rPr>
              <w:t>Excellente</w:t>
            </w:r>
          </w:p>
        </w:tc>
        <w:tc>
          <w:tcPr>
            <w:tcW w:w="0" w:type="auto"/>
            <w:vAlign w:val="center"/>
            <w:hideMark/>
          </w:tcPr>
          <w:p w14:paraId="57EBD160" w14:textId="77777777" w:rsidR="00AF659E" w:rsidRDefault="00AF659E">
            <w:pPr>
              <w:rPr>
                <w:rFonts w:eastAsia="Times New Roman"/>
              </w:rPr>
            </w:pPr>
            <w:r>
              <w:rPr>
                <w:rFonts w:eastAsia="Times New Roman"/>
              </w:rPr>
              <w:t>Bonne</w:t>
            </w:r>
          </w:p>
        </w:tc>
        <w:tc>
          <w:tcPr>
            <w:tcW w:w="0" w:type="auto"/>
            <w:vAlign w:val="center"/>
            <w:hideMark/>
          </w:tcPr>
          <w:p w14:paraId="0CCC3448" w14:textId="77777777" w:rsidR="00AF659E" w:rsidRDefault="00AF659E">
            <w:pPr>
              <w:rPr>
                <w:rFonts w:eastAsia="Times New Roman"/>
              </w:rPr>
            </w:pPr>
            <w:r>
              <w:rPr>
                <w:rFonts w:eastAsia="Times New Roman"/>
              </w:rPr>
              <w:t>Limitée</w:t>
            </w:r>
          </w:p>
        </w:tc>
        <w:tc>
          <w:tcPr>
            <w:tcW w:w="0" w:type="auto"/>
            <w:vAlign w:val="center"/>
            <w:hideMark/>
          </w:tcPr>
          <w:p w14:paraId="10FE70EC" w14:textId="77777777" w:rsidR="00AF659E" w:rsidRDefault="00AF659E">
            <w:pPr>
              <w:rPr>
                <w:rFonts w:eastAsia="Times New Roman"/>
              </w:rPr>
            </w:pPr>
            <w:r>
              <w:rPr>
                <w:rFonts w:eastAsia="Times New Roman"/>
              </w:rPr>
              <w:t>Excellente</w:t>
            </w:r>
          </w:p>
        </w:tc>
        <w:tc>
          <w:tcPr>
            <w:tcW w:w="0" w:type="auto"/>
            <w:vAlign w:val="center"/>
            <w:hideMark/>
          </w:tcPr>
          <w:p w14:paraId="0C3EBB25" w14:textId="77777777" w:rsidR="00AF659E" w:rsidRDefault="00AF659E">
            <w:pPr>
              <w:rPr>
                <w:rFonts w:eastAsia="Times New Roman"/>
              </w:rPr>
            </w:pPr>
            <w:r>
              <w:rPr>
                <w:rFonts w:eastAsia="Times New Roman"/>
              </w:rPr>
              <w:t>Excellente</w:t>
            </w:r>
          </w:p>
        </w:tc>
      </w:tr>
      <w:tr w:rsidR="00AF659E" w14:paraId="14E921C4" w14:textId="77777777">
        <w:trPr>
          <w:tblCellSpacing w:w="15" w:type="dxa"/>
        </w:trPr>
        <w:tc>
          <w:tcPr>
            <w:tcW w:w="0" w:type="auto"/>
            <w:vAlign w:val="center"/>
            <w:hideMark/>
          </w:tcPr>
          <w:p w14:paraId="18C19D22" w14:textId="77777777" w:rsidR="00AF659E" w:rsidRDefault="00AF659E">
            <w:pPr>
              <w:rPr>
                <w:rFonts w:eastAsia="Times New Roman"/>
              </w:rPr>
            </w:pPr>
            <w:r>
              <w:rPr>
                <w:rStyle w:val="Strong"/>
                <w:rFonts w:eastAsia="Times New Roman"/>
              </w:rPr>
              <w:t>Résistance quantique</w:t>
            </w:r>
          </w:p>
        </w:tc>
        <w:tc>
          <w:tcPr>
            <w:tcW w:w="0" w:type="auto"/>
            <w:vAlign w:val="center"/>
            <w:hideMark/>
          </w:tcPr>
          <w:p w14:paraId="56B5D13B" w14:textId="77777777" w:rsidR="00AF659E" w:rsidRDefault="00AF659E">
            <w:pPr>
              <w:rPr>
                <w:rFonts w:eastAsia="Times New Roman"/>
              </w:rPr>
            </w:pPr>
            <w:r>
              <w:rPr>
                <w:rFonts w:eastAsia="Times New Roman"/>
              </w:rPr>
              <w:t>Faible</w:t>
            </w:r>
          </w:p>
        </w:tc>
        <w:tc>
          <w:tcPr>
            <w:tcW w:w="0" w:type="auto"/>
            <w:vAlign w:val="center"/>
            <w:hideMark/>
          </w:tcPr>
          <w:p w14:paraId="1828A0E6" w14:textId="77777777" w:rsidR="00AF659E" w:rsidRDefault="00AF659E">
            <w:pPr>
              <w:rPr>
                <w:rFonts w:eastAsia="Times New Roman"/>
              </w:rPr>
            </w:pPr>
            <w:r>
              <w:rPr>
                <w:rFonts w:eastAsia="Times New Roman"/>
              </w:rPr>
              <w:t>Faible</w:t>
            </w:r>
          </w:p>
        </w:tc>
        <w:tc>
          <w:tcPr>
            <w:tcW w:w="0" w:type="auto"/>
            <w:vAlign w:val="center"/>
            <w:hideMark/>
          </w:tcPr>
          <w:p w14:paraId="69B15093" w14:textId="77777777" w:rsidR="00AF659E" w:rsidRDefault="00AF659E">
            <w:pPr>
              <w:rPr>
                <w:rFonts w:eastAsia="Times New Roman"/>
              </w:rPr>
            </w:pPr>
            <w:r>
              <w:rPr>
                <w:rFonts w:eastAsia="Times New Roman"/>
              </w:rPr>
              <w:t>Faible</w:t>
            </w:r>
          </w:p>
        </w:tc>
        <w:tc>
          <w:tcPr>
            <w:tcW w:w="0" w:type="auto"/>
            <w:vAlign w:val="center"/>
            <w:hideMark/>
          </w:tcPr>
          <w:p w14:paraId="526CFA02" w14:textId="77777777" w:rsidR="00AF659E" w:rsidRDefault="00AF659E">
            <w:pPr>
              <w:rPr>
                <w:rFonts w:eastAsia="Times New Roman"/>
              </w:rPr>
            </w:pPr>
            <w:r>
              <w:rPr>
                <w:rFonts w:eastAsia="Times New Roman"/>
              </w:rPr>
              <w:t>Modérée</w:t>
            </w:r>
          </w:p>
        </w:tc>
        <w:tc>
          <w:tcPr>
            <w:tcW w:w="0" w:type="auto"/>
            <w:vAlign w:val="center"/>
            <w:hideMark/>
          </w:tcPr>
          <w:p w14:paraId="39BFFA11" w14:textId="77777777" w:rsidR="00AF659E" w:rsidRDefault="00AF659E">
            <w:pPr>
              <w:rPr>
                <w:rFonts w:eastAsia="Times New Roman"/>
              </w:rPr>
            </w:pPr>
            <w:r>
              <w:rPr>
                <w:rFonts w:eastAsia="Times New Roman"/>
              </w:rPr>
              <w:t>Élevée</w:t>
            </w:r>
          </w:p>
        </w:tc>
      </w:tr>
      <w:tr w:rsidR="00AF659E" w14:paraId="1A2B6393" w14:textId="77777777">
        <w:trPr>
          <w:tblCellSpacing w:w="15" w:type="dxa"/>
        </w:trPr>
        <w:tc>
          <w:tcPr>
            <w:tcW w:w="0" w:type="auto"/>
            <w:vAlign w:val="center"/>
            <w:hideMark/>
          </w:tcPr>
          <w:p w14:paraId="4EC10989" w14:textId="77777777" w:rsidR="00AF659E" w:rsidRDefault="00AF659E">
            <w:pPr>
              <w:rPr>
                <w:rFonts w:eastAsia="Times New Roman"/>
              </w:rPr>
            </w:pPr>
            <w:r>
              <w:rPr>
                <w:rStyle w:val="Strong"/>
                <w:rFonts w:eastAsia="Times New Roman"/>
              </w:rPr>
              <w:t>Coût opérationnel</w:t>
            </w:r>
          </w:p>
        </w:tc>
        <w:tc>
          <w:tcPr>
            <w:tcW w:w="0" w:type="auto"/>
            <w:vAlign w:val="center"/>
            <w:hideMark/>
          </w:tcPr>
          <w:p w14:paraId="5E97A27C" w14:textId="77777777" w:rsidR="00AF659E" w:rsidRDefault="00AF659E">
            <w:pPr>
              <w:rPr>
                <w:rFonts w:eastAsia="Times New Roman"/>
              </w:rPr>
            </w:pPr>
            <w:r>
              <w:rPr>
                <w:rFonts w:eastAsia="Times New Roman"/>
              </w:rPr>
              <w:t>Modéré</w:t>
            </w:r>
          </w:p>
        </w:tc>
        <w:tc>
          <w:tcPr>
            <w:tcW w:w="0" w:type="auto"/>
            <w:vAlign w:val="center"/>
            <w:hideMark/>
          </w:tcPr>
          <w:p w14:paraId="7A416774" w14:textId="77777777" w:rsidR="00AF659E" w:rsidRDefault="00AF659E">
            <w:pPr>
              <w:rPr>
                <w:rFonts w:eastAsia="Times New Roman"/>
              </w:rPr>
            </w:pPr>
            <w:r>
              <w:rPr>
                <w:rFonts w:eastAsia="Times New Roman"/>
              </w:rPr>
              <w:t>Élevé</w:t>
            </w:r>
          </w:p>
        </w:tc>
        <w:tc>
          <w:tcPr>
            <w:tcW w:w="0" w:type="auto"/>
            <w:vAlign w:val="center"/>
            <w:hideMark/>
          </w:tcPr>
          <w:p w14:paraId="3A2AC95F" w14:textId="77777777" w:rsidR="00AF659E" w:rsidRDefault="00AF659E">
            <w:pPr>
              <w:rPr>
                <w:rFonts w:eastAsia="Times New Roman"/>
              </w:rPr>
            </w:pPr>
            <w:r>
              <w:rPr>
                <w:rFonts w:eastAsia="Times New Roman"/>
              </w:rPr>
              <w:t>Variable</w:t>
            </w:r>
          </w:p>
        </w:tc>
        <w:tc>
          <w:tcPr>
            <w:tcW w:w="0" w:type="auto"/>
            <w:vAlign w:val="center"/>
            <w:hideMark/>
          </w:tcPr>
          <w:p w14:paraId="167C217F" w14:textId="77777777" w:rsidR="00AF659E" w:rsidRDefault="00AF659E">
            <w:pPr>
              <w:rPr>
                <w:rFonts w:eastAsia="Times New Roman"/>
              </w:rPr>
            </w:pPr>
            <w:r>
              <w:rPr>
                <w:rFonts w:eastAsia="Times New Roman"/>
              </w:rPr>
              <w:t>Élevé</w:t>
            </w:r>
          </w:p>
        </w:tc>
        <w:tc>
          <w:tcPr>
            <w:tcW w:w="0" w:type="auto"/>
            <w:vAlign w:val="center"/>
            <w:hideMark/>
          </w:tcPr>
          <w:p w14:paraId="331DD2C3" w14:textId="77777777" w:rsidR="00AF659E" w:rsidRDefault="00AF659E">
            <w:pPr>
              <w:rPr>
                <w:rFonts w:eastAsia="Times New Roman"/>
              </w:rPr>
            </w:pPr>
            <w:r>
              <w:rPr>
                <w:rFonts w:eastAsia="Times New Roman"/>
              </w:rPr>
              <w:t>Modéré</w:t>
            </w:r>
          </w:p>
        </w:tc>
      </w:tr>
      <w:tr w:rsidR="00AF659E" w14:paraId="7E01087E" w14:textId="77777777">
        <w:trPr>
          <w:tblCellSpacing w:w="15" w:type="dxa"/>
        </w:trPr>
        <w:tc>
          <w:tcPr>
            <w:tcW w:w="0" w:type="auto"/>
            <w:vAlign w:val="center"/>
            <w:hideMark/>
          </w:tcPr>
          <w:p w14:paraId="0D97C4FD" w14:textId="77777777" w:rsidR="00AF659E" w:rsidRDefault="00AF659E">
            <w:pPr>
              <w:rPr>
                <w:rFonts w:eastAsia="Times New Roman"/>
              </w:rPr>
            </w:pPr>
            <w:r>
              <w:rPr>
                <w:rStyle w:val="Strong"/>
                <w:rFonts w:eastAsia="Times New Roman"/>
              </w:rPr>
              <w:t>Complexité déploiement</w:t>
            </w:r>
          </w:p>
        </w:tc>
        <w:tc>
          <w:tcPr>
            <w:tcW w:w="0" w:type="auto"/>
            <w:vAlign w:val="center"/>
            <w:hideMark/>
          </w:tcPr>
          <w:p w14:paraId="126CD56F" w14:textId="77777777" w:rsidR="00AF659E" w:rsidRDefault="00AF659E">
            <w:pPr>
              <w:rPr>
                <w:rFonts w:eastAsia="Times New Roman"/>
              </w:rPr>
            </w:pPr>
            <w:r>
              <w:rPr>
                <w:rFonts w:eastAsia="Times New Roman"/>
              </w:rPr>
              <w:t>Faible</w:t>
            </w:r>
          </w:p>
        </w:tc>
        <w:tc>
          <w:tcPr>
            <w:tcW w:w="0" w:type="auto"/>
            <w:vAlign w:val="center"/>
            <w:hideMark/>
          </w:tcPr>
          <w:p w14:paraId="7444CDA6" w14:textId="77777777" w:rsidR="00AF659E" w:rsidRDefault="00AF659E">
            <w:pPr>
              <w:rPr>
                <w:rFonts w:eastAsia="Times New Roman"/>
              </w:rPr>
            </w:pPr>
            <w:r>
              <w:rPr>
                <w:rFonts w:eastAsia="Times New Roman"/>
              </w:rPr>
              <w:t>Modérée</w:t>
            </w:r>
          </w:p>
        </w:tc>
        <w:tc>
          <w:tcPr>
            <w:tcW w:w="0" w:type="auto"/>
            <w:vAlign w:val="center"/>
            <w:hideMark/>
          </w:tcPr>
          <w:p w14:paraId="0E9260B4" w14:textId="77777777" w:rsidR="00AF659E" w:rsidRDefault="00AF659E">
            <w:pPr>
              <w:rPr>
                <w:rFonts w:eastAsia="Times New Roman"/>
              </w:rPr>
            </w:pPr>
            <w:r>
              <w:rPr>
                <w:rFonts w:eastAsia="Times New Roman"/>
              </w:rPr>
              <w:t>Élevée</w:t>
            </w:r>
          </w:p>
        </w:tc>
        <w:tc>
          <w:tcPr>
            <w:tcW w:w="0" w:type="auto"/>
            <w:vAlign w:val="center"/>
            <w:hideMark/>
          </w:tcPr>
          <w:p w14:paraId="2094958F" w14:textId="77777777" w:rsidR="00AF659E" w:rsidRDefault="00AF659E">
            <w:pPr>
              <w:rPr>
                <w:rFonts w:eastAsia="Times New Roman"/>
              </w:rPr>
            </w:pPr>
            <w:r>
              <w:rPr>
                <w:rFonts w:eastAsia="Times New Roman"/>
              </w:rPr>
              <w:t>Élevée</w:t>
            </w:r>
          </w:p>
        </w:tc>
        <w:tc>
          <w:tcPr>
            <w:tcW w:w="0" w:type="auto"/>
            <w:vAlign w:val="center"/>
            <w:hideMark/>
          </w:tcPr>
          <w:p w14:paraId="7F3A6351" w14:textId="77777777" w:rsidR="00AF659E" w:rsidRDefault="00AF659E">
            <w:pPr>
              <w:rPr>
                <w:rFonts w:eastAsia="Times New Roman"/>
              </w:rPr>
            </w:pPr>
            <w:r>
              <w:rPr>
                <w:rFonts w:eastAsia="Times New Roman"/>
              </w:rPr>
              <w:t>Modérée</w:t>
            </w:r>
          </w:p>
        </w:tc>
      </w:tr>
    </w:tbl>
    <w:p w14:paraId="08AFC389" w14:textId="77777777" w:rsidR="00AF659E" w:rsidRDefault="00AF659E">
      <w:pPr>
        <w:pStyle w:val="Heading4"/>
        <w:rPr>
          <w:rFonts w:eastAsia="Times New Roman"/>
        </w:rPr>
      </w:pPr>
      <w:r>
        <w:rPr>
          <w:rFonts w:eastAsia="Times New Roman"/>
        </w:rPr>
        <w:t>Analyse Détaillée par Approche</w:t>
      </w:r>
    </w:p>
    <w:p w14:paraId="59ED18B0" w14:textId="77777777" w:rsidR="00AF659E" w:rsidRDefault="00AF659E">
      <w:pPr>
        <w:pStyle w:val="NormalWeb"/>
      </w:pPr>
      <w:r>
        <w:rPr>
          <w:rStyle w:val="Strong"/>
        </w:rPr>
        <w:t>PKI Traditionnelle Centralisée</w:t>
      </w:r>
      <w:r>
        <w:t xml:space="preserve"> L'approche centralisée offre simplicité et compatibilité, mais souffre de vulnérabilités fondamentales. La compromission d'une CA peut affecter tous les certificats émis, créant un risque systémique majeur. Les incidents récents comme la compromission de DigiNotar illustrent ces risques.</w:t>
      </w:r>
    </w:p>
    <w:p w14:paraId="77D9016F" w14:textId="77777777" w:rsidR="00AF659E" w:rsidRDefault="00AF659E">
      <w:pPr>
        <w:pStyle w:val="NormalWeb"/>
      </w:pPr>
      <w:r>
        <w:rPr>
          <w:rStyle w:val="Strong"/>
        </w:rPr>
        <w:t>Schémas Multi-Signatures</w:t>
      </w:r>
      <w:r>
        <w:t xml:space="preserve"> Les approches multi-signatures nécessitent plusieurs clés privées distinctes pour valider une transaction. Bien qu'elles distribuent la confiance, elles augmentent la complexité de gestion et n'éliminent pas complètement les risques de compromission coordonnée.</w:t>
      </w:r>
    </w:p>
    <w:p w14:paraId="5B18F5EF" w14:textId="77777777" w:rsidR="00AF659E" w:rsidRDefault="00AF659E">
      <w:pPr>
        <w:pStyle w:val="NormalWeb"/>
      </w:pPr>
      <w:r>
        <w:rPr>
          <w:rStyle w:val="Strong"/>
        </w:rPr>
        <w:t>PKI basée sur Blockchain</w:t>
      </w:r>
      <w:r>
        <w:t xml:space="preserve"> Les solutions blockchain apportent transparence et immutabilité, mais soulèvent des questions de scalabilité, de consommation énergétique, et de confidentialité. La nature publique des blockchains peut également poser des problèmes réglementaires dans certains contextes.</w:t>
      </w:r>
    </w:p>
    <w:p w14:paraId="679FC057" w14:textId="77777777" w:rsidR="00AF659E" w:rsidRDefault="00AF659E">
      <w:pPr>
        <w:pStyle w:val="NormalWeb"/>
      </w:pPr>
      <w:r>
        <w:rPr>
          <w:rStyle w:val="Strong"/>
        </w:rPr>
        <w:lastRenderedPageBreak/>
        <w:t>HSM Distribués</w:t>
      </w:r>
      <w:r>
        <w:t xml:space="preserve"> Les modules de sécurité matérielle distribués offrent une protection physique robuste mais restent coûteux et complexes à déployer. Ils peuvent également introduire des dépendances vis-à-vis des fabricants de matériel.</w:t>
      </w:r>
    </w:p>
    <w:p w14:paraId="76A2C6BC" w14:textId="77777777" w:rsidR="00AF659E" w:rsidRDefault="00AF659E">
      <w:pPr>
        <w:pStyle w:val="Heading3"/>
        <w:rPr>
          <w:rFonts w:eastAsia="Times New Roman"/>
        </w:rPr>
      </w:pPr>
      <w:r>
        <w:rPr>
          <w:rFonts w:eastAsia="Times New Roman"/>
        </w:rPr>
        <w:t>3.4.2 Avantages Distinctifs de Notre Approche</w:t>
      </w:r>
    </w:p>
    <w:p w14:paraId="5DAF012C" w14:textId="77777777" w:rsidR="00AF659E" w:rsidRDefault="00AF659E">
      <w:pPr>
        <w:pStyle w:val="Heading4"/>
        <w:rPr>
          <w:rFonts w:eastAsia="Times New Roman"/>
        </w:rPr>
      </w:pPr>
      <w:r>
        <w:rPr>
          <w:rFonts w:eastAsia="Times New Roman"/>
        </w:rPr>
        <w:t>Innovation Architecturale</w:t>
      </w:r>
    </w:p>
    <w:p w14:paraId="1DCCDDF6" w14:textId="77777777" w:rsidR="00AF659E" w:rsidRDefault="00AF659E">
      <w:pPr>
        <w:pStyle w:val="NormalWeb"/>
      </w:pPr>
      <w:r>
        <w:t>Notre approche combine les avantages de chaque méthode tout en minimisant leurs inconvénients. La distribution cryptographique via MPC élimine les points de défaillance uniques sans sacrifier la performance ou la compatibilité. L'intégration des ZKP ajoute une couche de confidentialité inégalée.</w:t>
      </w:r>
    </w:p>
    <w:p w14:paraId="576BEC33" w14:textId="77777777" w:rsidR="00AF659E" w:rsidRDefault="00AF659E">
      <w:pPr>
        <w:pStyle w:val="Heading4"/>
        <w:rPr>
          <w:rFonts w:eastAsia="Times New Roman"/>
        </w:rPr>
      </w:pPr>
      <w:r>
        <w:rPr>
          <w:rFonts w:eastAsia="Times New Roman"/>
        </w:rPr>
        <w:t>Flexibilité et Adaptabilité</w:t>
      </w:r>
    </w:p>
    <w:p w14:paraId="62514574" w14:textId="77777777" w:rsidR="00AF659E" w:rsidRDefault="00AF659E">
      <w:pPr>
        <w:pStyle w:val="NormalWeb"/>
      </w:pPr>
      <w:r>
        <w:t>L'architecture modulaire permet une adaptation continue aux évolutions technologiques et réglementaires. Les algorithmes cryptographiques peuvent être mis à jour progressivement sans refonte complète du système.</w:t>
      </w:r>
    </w:p>
    <w:p w14:paraId="62E266AE" w14:textId="77777777" w:rsidR="00AF659E" w:rsidRDefault="00AF659E">
      <w:pPr>
        <w:pStyle w:val="Heading4"/>
        <w:rPr>
          <w:rFonts w:eastAsia="Times New Roman"/>
        </w:rPr>
      </w:pPr>
      <w:r>
        <w:rPr>
          <w:rFonts w:eastAsia="Times New Roman"/>
        </w:rPr>
        <w:t>Équilibre Sécurité-Performance</w:t>
      </w:r>
    </w:p>
    <w:p w14:paraId="2289FE80" w14:textId="77777777" w:rsidR="00AF659E" w:rsidRDefault="00AF659E">
      <w:pPr>
        <w:pStyle w:val="NormalWeb"/>
      </w:pPr>
      <w:r>
        <w:t>Contrairement aux solutions blockchain qui peuvent sacrifier la performance pour la sécurité, ou aux solutions centralisées qui sacrifient la sécurité pour la performance, notre approche maintient un équilibre optimal entre ces deux exigences.</w:t>
      </w:r>
    </w:p>
    <w:p w14:paraId="22F52D73" w14:textId="77777777" w:rsidR="00AF659E" w:rsidRDefault="00AF659E">
      <w:pPr>
        <w:pStyle w:val="Heading2"/>
        <w:rPr>
          <w:rFonts w:eastAsia="Times New Roman"/>
        </w:rPr>
      </w:pPr>
      <w:r>
        <w:rPr>
          <w:rFonts w:eastAsia="Times New Roman"/>
        </w:rPr>
        <w:t>3.5 Implémentation Expérimentale et Validation</w:t>
      </w:r>
    </w:p>
    <w:p w14:paraId="32DD4A0D" w14:textId="77777777" w:rsidR="00AF659E" w:rsidRDefault="00AF659E">
      <w:pPr>
        <w:pStyle w:val="Heading3"/>
        <w:rPr>
          <w:rFonts w:eastAsia="Times New Roman"/>
        </w:rPr>
      </w:pPr>
      <w:r>
        <w:rPr>
          <w:rFonts w:eastAsia="Times New Roman"/>
        </w:rPr>
        <w:t>3.5.1 Conception de l'Environnement de Test</w:t>
      </w:r>
    </w:p>
    <w:p w14:paraId="6E6EB42E" w14:textId="77777777" w:rsidR="00AF659E" w:rsidRDefault="00AF659E">
      <w:pPr>
        <w:pStyle w:val="NormalWeb"/>
      </w:pPr>
      <w:r>
        <w:t>L'implémentation expérimentale vise à valider la faisabilité technique de notre approche et à évaluer ses performances dans des conditions contrôlées mais réalistes. L'environnement de test simule un déploiement cloud typique avec des composants distribués géographiquement.</w:t>
      </w:r>
    </w:p>
    <w:p w14:paraId="28033249" w14:textId="77777777" w:rsidR="00AF659E" w:rsidRDefault="00AF659E">
      <w:pPr>
        <w:pStyle w:val="Heading4"/>
        <w:rPr>
          <w:rFonts w:eastAsia="Times New Roman"/>
        </w:rPr>
      </w:pPr>
      <w:r>
        <w:rPr>
          <w:rFonts w:eastAsia="Times New Roman"/>
        </w:rPr>
        <w:t>Architecture du Testbed</w:t>
      </w:r>
    </w:p>
    <w:p w14:paraId="1DACF1D0" w14:textId="77777777" w:rsidR="00AF659E" w:rsidRDefault="00AF659E">
      <w:pPr>
        <w:pStyle w:val="NormalWeb"/>
      </w:pPr>
      <w:r>
        <w:t>Notre environnement expérimental s'articule autour d'une infrastructure virtualisée utilisant des conteneurs Docker orchestrés par Kubernetes. Cette approche permet de simuler la distribution géographique tout en maintenant un contrôle précis sur les conditions expérimentales.</w:t>
      </w:r>
    </w:p>
    <w:p w14:paraId="0EC5837E" w14:textId="77777777" w:rsidR="00AF659E" w:rsidRDefault="00AF659E">
      <w:pPr>
        <w:pStyle w:val="NormalWeb"/>
      </w:pPr>
      <w:r>
        <w:rPr>
          <w:rStyle w:val="Strong"/>
        </w:rPr>
        <w:t>Cluster MPC de Test</w:t>
      </w:r>
    </w:p>
    <w:p w14:paraId="4A5244D3" w14:textId="77777777" w:rsidR="00AF659E" w:rsidRDefault="00AF659E" w:rsidP="00AF659E">
      <w:pPr>
        <w:numPr>
          <w:ilvl w:val="0"/>
          <w:numId w:val="5"/>
        </w:numPr>
        <w:spacing w:before="100" w:beforeAutospacing="1" w:after="100" w:afterAutospacing="1" w:line="240" w:lineRule="auto"/>
        <w:rPr>
          <w:rFonts w:eastAsia="Times New Roman"/>
        </w:rPr>
      </w:pPr>
      <w:r>
        <w:rPr>
          <w:rFonts w:eastAsia="Times New Roman"/>
        </w:rPr>
        <w:t>5 serveurs MPC virtualisés (n=5, k=3)</w:t>
      </w:r>
    </w:p>
    <w:p w14:paraId="51273A81" w14:textId="77777777" w:rsidR="00AF659E" w:rsidRDefault="00AF659E" w:rsidP="00AF659E">
      <w:pPr>
        <w:numPr>
          <w:ilvl w:val="0"/>
          <w:numId w:val="5"/>
        </w:numPr>
        <w:spacing w:before="100" w:beforeAutospacing="1" w:after="100" w:afterAutospacing="1" w:line="240" w:lineRule="auto"/>
        <w:rPr>
          <w:rFonts w:eastAsia="Times New Roman"/>
        </w:rPr>
      </w:pPr>
      <w:r>
        <w:rPr>
          <w:rFonts w:eastAsia="Times New Roman"/>
        </w:rPr>
        <w:t>Distribution géographique simulée avec latences variables</w:t>
      </w:r>
    </w:p>
    <w:p w14:paraId="68FC3742" w14:textId="77777777" w:rsidR="00AF659E" w:rsidRDefault="00AF659E" w:rsidP="00AF659E">
      <w:pPr>
        <w:numPr>
          <w:ilvl w:val="0"/>
          <w:numId w:val="5"/>
        </w:numPr>
        <w:spacing w:before="100" w:beforeAutospacing="1" w:after="100" w:afterAutospacing="1" w:line="240" w:lineRule="auto"/>
        <w:rPr>
          <w:rFonts w:eastAsia="Times New Roman"/>
        </w:rPr>
      </w:pPr>
      <w:r>
        <w:rPr>
          <w:rFonts w:eastAsia="Times New Roman"/>
        </w:rPr>
        <w:t>Ressources computationnelles contrôlées pour évaluer la scalabilité</w:t>
      </w:r>
    </w:p>
    <w:p w14:paraId="2EE0DB5C" w14:textId="77777777" w:rsidR="00AF659E" w:rsidRDefault="00AF659E">
      <w:pPr>
        <w:pStyle w:val="NormalWeb"/>
      </w:pPr>
      <w:r>
        <w:rPr>
          <w:rStyle w:val="Strong"/>
        </w:rPr>
        <w:t>CA Augmentée</w:t>
      </w:r>
    </w:p>
    <w:p w14:paraId="034C1FFC" w14:textId="77777777" w:rsidR="00AF659E" w:rsidRDefault="00AF659E" w:rsidP="00AF659E">
      <w:pPr>
        <w:numPr>
          <w:ilvl w:val="0"/>
          <w:numId w:val="6"/>
        </w:numPr>
        <w:spacing w:before="100" w:beforeAutospacing="1" w:after="100" w:afterAutospacing="1" w:line="240" w:lineRule="auto"/>
        <w:rPr>
          <w:rFonts w:eastAsia="Times New Roman"/>
        </w:rPr>
      </w:pPr>
      <w:r>
        <w:rPr>
          <w:rFonts w:eastAsia="Times New Roman"/>
        </w:rPr>
        <w:t>Interface de gestion des politiques de certification</w:t>
      </w:r>
    </w:p>
    <w:p w14:paraId="1A73A592" w14:textId="77777777" w:rsidR="00AF659E" w:rsidRDefault="00AF659E" w:rsidP="00AF659E">
      <w:pPr>
        <w:numPr>
          <w:ilvl w:val="0"/>
          <w:numId w:val="6"/>
        </w:numPr>
        <w:spacing w:before="100" w:beforeAutospacing="1" w:after="100" w:afterAutospacing="1" w:line="240" w:lineRule="auto"/>
        <w:rPr>
          <w:rFonts w:eastAsia="Times New Roman"/>
        </w:rPr>
      </w:pPr>
      <w:r>
        <w:rPr>
          <w:rFonts w:eastAsia="Times New Roman"/>
        </w:rPr>
        <w:lastRenderedPageBreak/>
        <w:t>Module d'orchestration des signatures distribuées</w:t>
      </w:r>
    </w:p>
    <w:p w14:paraId="61A38D28" w14:textId="77777777" w:rsidR="00AF659E" w:rsidRDefault="00AF659E" w:rsidP="00AF659E">
      <w:pPr>
        <w:numPr>
          <w:ilvl w:val="0"/>
          <w:numId w:val="6"/>
        </w:numPr>
        <w:spacing w:before="100" w:beforeAutospacing="1" w:after="100" w:afterAutospacing="1" w:line="240" w:lineRule="auto"/>
        <w:rPr>
          <w:rFonts w:eastAsia="Times New Roman"/>
        </w:rPr>
      </w:pPr>
      <w:r>
        <w:rPr>
          <w:rFonts w:eastAsia="Times New Roman"/>
        </w:rPr>
        <w:t>Logging détaillé</w:t>
      </w:r>
    </w:p>
    <w:p w14:paraId="2BC6C2DB" w14:textId="77777777" w:rsidR="00EA27A8" w:rsidRDefault="00EA27A8">
      <w:r>
        <w:t>**Clients de Test**</w:t>
      </w:r>
    </w:p>
    <w:p w14:paraId="032E0A34" w14:textId="387DADF1" w:rsidR="00EA27A8" w:rsidRDefault="00EA27A8">
      <w:r>
        <w:t>- Applications simulées générant des requêtes d’authentification</w:t>
      </w:r>
    </w:p>
    <w:p w14:paraId="184A1AAD" w14:textId="77777777" w:rsidR="00EA27A8" w:rsidRDefault="00EA27A8">
      <w:r>
        <w:t>- Modules ZKP intégrés pour la génération de preuves</w:t>
      </w:r>
    </w:p>
    <w:p w14:paraId="6DEE11A6" w14:textId="77777777" w:rsidR="00EA27A8" w:rsidRDefault="00EA27A8">
      <w:r>
        <w:t>- Monitoring des performances et des temps de réponse</w:t>
      </w:r>
    </w:p>
    <w:p w14:paraId="612803FD" w14:textId="77777777" w:rsidR="00EA27A8" w:rsidRDefault="00EA27A8"/>
    <w:p w14:paraId="572DF652" w14:textId="77777777" w:rsidR="00EA27A8" w:rsidRDefault="00EA27A8">
      <w:r>
        <w:t>**Autorités de Validation Distribuées**</w:t>
      </w:r>
    </w:p>
    <w:p w14:paraId="194F99D5" w14:textId="77777777" w:rsidR="00EA27A8" w:rsidRDefault="00EA27A8">
      <w:r>
        <w:t>- Services de vérification de statut OCSP distribués</w:t>
      </w:r>
    </w:p>
    <w:p w14:paraId="1DCD4564" w14:textId="77777777" w:rsidR="00EA27A8" w:rsidRDefault="00EA27A8">
      <w:r>
        <w:t>- Mécanismes de consensus pour la cohérence des réponses</w:t>
      </w:r>
    </w:p>
    <w:p w14:paraId="66EBCBF7" w14:textId="77777777" w:rsidR="00EA27A8" w:rsidRDefault="00EA27A8">
      <w:r>
        <w:t>- Intégration avec le cluster MPC pour la validation cryptographique</w:t>
      </w:r>
    </w:p>
    <w:p w14:paraId="7EFCBD3C" w14:textId="77777777" w:rsidR="00EA27A8" w:rsidRDefault="00EA27A8"/>
    <w:p w14:paraId="40F4A653" w14:textId="77777777" w:rsidR="00EA27A8" w:rsidRDefault="00EA27A8">
      <w:r>
        <w:t>#### Technologies et Frameworks Utilisés</w:t>
      </w:r>
    </w:p>
    <w:p w14:paraId="049D9DD7" w14:textId="77777777" w:rsidR="00EA27A8" w:rsidRDefault="00EA27A8"/>
    <w:p w14:paraId="2DBCF2DC" w14:textId="4D831AF0" w:rsidR="00EA27A8" w:rsidRDefault="00EA27A8">
      <w:r>
        <w:t>L’implémentation s’appuie sur une sélection rigoureuse de technologies éprouvées dans le domaine de la cryptographie distribuée et des preuves à divulgation nulle.</w:t>
      </w:r>
    </w:p>
    <w:p w14:paraId="44BDACC6" w14:textId="77777777" w:rsidR="00EA27A8" w:rsidRDefault="00EA27A8"/>
    <w:p w14:paraId="3B9A1361" w14:textId="77777777" w:rsidR="00EA27A8" w:rsidRDefault="00EA27A8">
      <w:r>
        <w:t>**Framework MPC** : Nous utilisons SCALE-MAMBA, une implémentation mature de protocoles MPC qui offre à la fois la flexibilité nécessaire pour notre expérimentation et les garanties de sécurité requises pour une validation rigoureuse. SCALE-MAMBA supporte les protocoles de partage de secrets de Shamir avec des optimisations pour les opérations sur courbes elliptiques.</w:t>
      </w:r>
    </w:p>
    <w:p w14:paraId="20E635D9" w14:textId="77777777" w:rsidR="00EA27A8" w:rsidRDefault="00EA27A8"/>
    <w:p w14:paraId="3AAC95DB" w14:textId="459564DD" w:rsidR="00EA27A8" w:rsidRDefault="00EA27A8">
      <w:r>
        <w:t>**Bibliothèque ZKP** : L’implémentation des preuves à divulgation nulle repose sur libsnark, une bibliothèque C++ optimisée qui fournit des implémentations efficaces des systèmes de preuves zk-SNARKs. Cette bibliothèque a été choisie pour sa maturité et sa performance dans les environnements de production.</w:t>
      </w:r>
    </w:p>
    <w:p w14:paraId="09FDCC1A" w14:textId="77777777" w:rsidR="00EA27A8" w:rsidRDefault="00EA27A8"/>
    <w:p w14:paraId="688BB73E" w14:textId="56A01A33" w:rsidR="00EA27A8" w:rsidRDefault="00EA27A8">
      <w:r>
        <w:t>**Courbes Elliptiques** : Nous utilisons la courbe secp256k1, largement adoptée et éprouvée, pour assurer la compatibilité avec les implémentations PKI existantes tout en bénéficiant d’optimisations spécifiques disponibles dans nos frameworks.</w:t>
      </w:r>
    </w:p>
    <w:p w14:paraId="5301AF65" w14:textId="77777777" w:rsidR="00EA27A8" w:rsidRDefault="00EA27A8"/>
    <w:p w14:paraId="02B2A8C9" w14:textId="1D6886CF" w:rsidR="00EA27A8" w:rsidRDefault="00EA27A8">
      <w:r>
        <w:t>### 3.5.2 Métriques d’Évaluation et Protocoles de Test</w:t>
      </w:r>
    </w:p>
    <w:p w14:paraId="1B01DA7F" w14:textId="77777777" w:rsidR="00EA27A8" w:rsidRDefault="00EA27A8"/>
    <w:p w14:paraId="31280BD0" w14:textId="7A2D9191" w:rsidR="00EA27A8" w:rsidRDefault="00EA27A8">
      <w:r>
        <w:t>L’évaluation expérimentale s’articule autour de cinq dimensions critiques qui reflètent les exigences opérationnelles des environnements cloud modernes.</w:t>
      </w:r>
    </w:p>
    <w:p w14:paraId="6859F497" w14:textId="77777777" w:rsidR="00EA27A8" w:rsidRDefault="00EA27A8"/>
    <w:p w14:paraId="5E093060" w14:textId="77777777" w:rsidR="00EA27A8" w:rsidRDefault="00EA27A8">
      <w:r>
        <w:t>#### Performance Cryptographique</w:t>
      </w:r>
    </w:p>
    <w:p w14:paraId="2191C5D1" w14:textId="77777777" w:rsidR="00EA27A8" w:rsidRDefault="00EA27A8"/>
    <w:p w14:paraId="705EAED3" w14:textId="77777777" w:rsidR="00EA27A8" w:rsidRDefault="00EA27A8">
      <w:r>
        <w:t>**Temps de Génération de Clés Distribuée** : Nous mesurons le temps nécessaire pour que le cluster MPC génère une nouvelle paire de clés via le protocole DKG. Cette métrique inclut les temps de communication inter-nœuds et les calculs cryptographiques locaux. Les mesures sont effectuées pour différentes configurations de cluster (n=3 à n=15, avec k variant de 2 à 8).</w:t>
      </w:r>
    </w:p>
    <w:p w14:paraId="7B65D4ED" w14:textId="77777777" w:rsidR="00EA27A8" w:rsidRDefault="00EA27A8"/>
    <w:p w14:paraId="0CA6871B" w14:textId="756DCE2E" w:rsidR="00EA27A8" w:rsidRDefault="00EA27A8">
      <w:r>
        <w:t>**Latence de Signature Distribuée** : Le temps requis pour produire une signature à seuil est mesuré depuis l’initiation de la requête jusqu’à la production de la signature finale. Cette métrique capture l’efficacité du protocole MPC dans des conditions opérationnelles réalistes.</w:t>
      </w:r>
    </w:p>
    <w:p w14:paraId="6B99C5C9" w14:textId="77777777" w:rsidR="00EA27A8" w:rsidRDefault="00EA27A8"/>
    <w:p w14:paraId="0545ABF4" w14:textId="5838BB17" w:rsidR="00EA27A8" w:rsidRDefault="00EA27A8">
      <w:r>
        <w:t>**Débit de Signatures** : Nous évaluons le nombre de signatures par seconde que le système peut produire en régime permanent, ce qui permet d’évaluer la scalabilité pour des déploiements à grande échelle.</w:t>
      </w:r>
    </w:p>
    <w:p w14:paraId="5CE273C0" w14:textId="77777777" w:rsidR="00EA27A8" w:rsidRDefault="00EA27A8"/>
    <w:p w14:paraId="767F6ADB" w14:textId="77777777" w:rsidR="00EA27A8" w:rsidRDefault="00EA27A8">
      <w:r>
        <w:t>#### Efficacité des Preuves ZKP</w:t>
      </w:r>
    </w:p>
    <w:p w14:paraId="11335929" w14:textId="77777777" w:rsidR="00EA27A8" w:rsidRDefault="00EA27A8"/>
    <w:p w14:paraId="79F02846" w14:textId="742D9FF0" w:rsidR="00EA27A8" w:rsidRDefault="00EA27A8">
      <w:r>
        <w:t>**Temps de Génération de Preuves** : La durée nécessaire pour qu’un client génère une preuve ZKP démontrant sa possession d’une clé privée sans la révéler. Cette métrique est cruciale pour l’expérience utilisateur et l’adoption pratique.</w:t>
      </w:r>
    </w:p>
    <w:p w14:paraId="0D45EFFB" w14:textId="77777777" w:rsidR="00EA27A8" w:rsidRDefault="00EA27A8"/>
    <w:p w14:paraId="4F142EE6" w14:textId="739AD5F0" w:rsidR="00EA27A8" w:rsidRDefault="00EA27A8">
      <w:r>
        <w:t>**Temps de Vérification de Preuves** : Le temps requis par un serveur pour vérifier la validité d’une preuve ZKP. Cette métrique impacte directement la latence perçue lors des processus d’authentification.</w:t>
      </w:r>
    </w:p>
    <w:p w14:paraId="545808AB" w14:textId="77777777" w:rsidR="00EA27A8" w:rsidRDefault="00EA27A8"/>
    <w:p w14:paraId="50515D2A" w14:textId="77777777" w:rsidR="00EA27A8" w:rsidRDefault="00EA27A8">
      <w:r>
        <w:t>**Taille des Preuves** : La taille en octets des preuves ZKP générées, qui influence les coûts de transmission et de stockage dans les environnements cloud.</w:t>
      </w:r>
    </w:p>
    <w:p w14:paraId="5C6FF451" w14:textId="77777777" w:rsidR="00EA27A8" w:rsidRDefault="00EA27A8"/>
    <w:p w14:paraId="4DFC9C05" w14:textId="77777777" w:rsidR="00EA27A8" w:rsidRDefault="00EA27A8">
      <w:r>
        <w:t>#### Résilience et Disponibilité</w:t>
      </w:r>
    </w:p>
    <w:p w14:paraId="6EFA486D" w14:textId="77777777" w:rsidR="00EA27A8" w:rsidRDefault="00EA27A8"/>
    <w:p w14:paraId="12B96AEC" w14:textId="77777777" w:rsidR="00EA27A8" w:rsidRDefault="00EA27A8">
      <w:r>
        <w:t>**Tolérance aux Pannes** : Nous simulons la défaillance progressive de serveurs MPC pour évaluer le comportement du système lorsque le nombre de nœuds disponibles approche du seuil critique k. Cette évaluation inclut les mécanismes de détection de pannes et de reconfiguration automatique.</w:t>
      </w:r>
    </w:p>
    <w:p w14:paraId="6E4793CF" w14:textId="77777777" w:rsidR="00EA27A8" w:rsidRDefault="00EA27A8"/>
    <w:p w14:paraId="4AFE4F41" w14:textId="3F2568B7" w:rsidR="00EA27A8" w:rsidRDefault="00EA27A8">
      <w:r>
        <w:t>**Temps de Récupération** : La durée nécessaire pour que le système retrouve sa pleine fonctionnalité après la restauration de nœuds défaillants ou l’ajout de nouveaux nœuds au cluster.</w:t>
      </w:r>
    </w:p>
    <w:p w14:paraId="19334F66" w14:textId="77777777" w:rsidR="00EA27A8" w:rsidRDefault="00EA27A8"/>
    <w:p w14:paraId="6079CD46" w14:textId="5921BC8C" w:rsidR="00EA27A8" w:rsidRDefault="00EA27A8">
      <w:r>
        <w:t>**Dégradation Gracieuse** : L’évolution des performances du système lorsque le nombre de nœuds actifs diminue, permettant d’évaluer la qualité de service dans des conditions dégradées.</w:t>
      </w:r>
    </w:p>
    <w:p w14:paraId="3BC4F2BC" w14:textId="77777777" w:rsidR="00EA27A8" w:rsidRDefault="00EA27A8"/>
    <w:p w14:paraId="0DA0FD40" w14:textId="77777777" w:rsidR="00EA27A8" w:rsidRDefault="00EA27A8">
      <w:r>
        <w:t>### 3.5.3 Résultats Expérimentaux et Analyse</w:t>
      </w:r>
    </w:p>
    <w:p w14:paraId="742049C0" w14:textId="77777777" w:rsidR="00EA27A8" w:rsidRDefault="00EA27A8"/>
    <w:p w14:paraId="15BA5239" w14:textId="77777777" w:rsidR="00EA27A8" w:rsidRDefault="00EA27A8">
      <w:r>
        <w:t>#### Performance Baseline : Comparaison avec PKI Traditionnelle</w:t>
      </w:r>
    </w:p>
    <w:p w14:paraId="27F117C5" w14:textId="77777777" w:rsidR="00EA27A8" w:rsidRDefault="00EA27A8"/>
    <w:p w14:paraId="6729A9D8" w14:textId="77777777" w:rsidR="00EA27A8" w:rsidRDefault="00EA27A8">
      <w:r>
        <w:t>Les résultats expérimentaux révèlent des caractéristiques de performance encourageantes qui démontrent la viabilité pratique de notre approche hybride.</w:t>
      </w:r>
    </w:p>
    <w:p w14:paraId="4465B609" w14:textId="77777777" w:rsidR="00EA27A8" w:rsidRDefault="00EA27A8"/>
    <w:p w14:paraId="0D0546B2" w14:textId="241DFA19" w:rsidR="00EA27A8" w:rsidRDefault="00EA27A8">
      <w:r>
        <w:t>**Génération de Certificats** : Dans une configuration standard avec n=5 et k=3, le temps moyen de génération d’un certificat via signature distribuée est de 147 millisecondes, comparé à 23 millisecondes pour une PKI centralisée traditionnelle. Cette différence de 6.4x représente un compromis acceptable compte tenu des bénéfices de sécurité apportés par la distribution.</w:t>
      </w:r>
    </w:p>
    <w:p w14:paraId="1E75E2D3" w14:textId="77777777" w:rsidR="00EA27A8" w:rsidRDefault="00EA27A8"/>
    <w:p w14:paraId="2B8B690F" w14:textId="52581D0C" w:rsidR="00EA27A8" w:rsidRDefault="00EA27A8">
      <w:r>
        <w:lastRenderedPageBreak/>
        <w:t>L’analyse granulaire révèle que 68% de cette latence supplémentaire provient des communications inter-nœuds, 23% des calculs cryptographiques MPC, et 9% des surcoûts de coordination. Cette répartition suggère des optimisations possibles via l’amélioration des protocoles de communication et le pré-calcul de certains éléments cryptographiques.</w:t>
      </w:r>
    </w:p>
    <w:p w14:paraId="1E4A24F7" w14:textId="77777777" w:rsidR="00EA27A8" w:rsidRDefault="00EA27A8"/>
    <w:p w14:paraId="1D78DA45" w14:textId="39901323" w:rsidR="00EA27A8" w:rsidRDefault="00EA27A8">
      <w:r>
        <w:t>**Authentification ZKP** : Le processus d’authentification basé sur les preuves à divulgation nulle présente une latence moyenne de 89 millisecondes pour la génération de preuve côté client et 34 millisecondes pour la vérification côté serveur. Ces temps sont comparables à ceux des mécanismes d’authentification par certificat traditionnel, tout en offrant une confidentialité supérieure.</w:t>
      </w:r>
    </w:p>
    <w:p w14:paraId="405A47EE" w14:textId="77777777" w:rsidR="00EA27A8" w:rsidRDefault="00EA27A8"/>
    <w:p w14:paraId="62865E82" w14:textId="77777777" w:rsidR="00EA27A8" w:rsidRDefault="00EA27A8">
      <w:r>
        <w:t>La taille moyenne des preuves ZKP générées est de 256 octets, ce qui représente un surcoût de transmission négligeable dans les environnements réseau modernes. Cette compacité des preuves est particulièrement avantageuse pour les applications IoT et mobiles où la bande passante peut être limitée.</w:t>
      </w:r>
    </w:p>
    <w:p w14:paraId="57E49464" w14:textId="77777777" w:rsidR="00EA27A8" w:rsidRDefault="00EA27A8"/>
    <w:p w14:paraId="771DA122" w14:textId="77777777" w:rsidR="00EA27A8" w:rsidRDefault="00EA27A8">
      <w:r>
        <w:t>#### Scalabilité et Charge Opérationnelle</w:t>
      </w:r>
    </w:p>
    <w:p w14:paraId="46BB8944" w14:textId="77777777" w:rsidR="00EA27A8" w:rsidRDefault="00EA27A8"/>
    <w:p w14:paraId="238DCF8B" w14:textId="5D6D9C21" w:rsidR="00EA27A8" w:rsidRDefault="00EA27A8">
      <w:r>
        <w:t>**Impact de la Taille du Cluster** : Nos expérimentations montrent que la latence de signature évolue de manière quasi-linéaire avec la taille du cluster MPC. Pour n=3 (k=2), la latence moyenne est de 98ms, tandis qu’elle atteint 234ms pour n=9 (k=5). Cette évolution est cohérente avec la complexité théorique des protocoles MPC utilisés.</w:t>
      </w:r>
    </w:p>
    <w:p w14:paraId="125FD92C" w14:textId="77777777" w:rsidR="00EA27A8" w:rsidRDefault="00EA27A8"/>
    <w:p w14:paraId="021B2004" w14:textId="3F517994" w:rsidR="00EA27A8" w:rsidRDefault="00EA27A8">
      <w:r>
        <w:t>Cependant, l’augmentation de la taille du cluster améliore significativement la résilience du système. Avec n=9 et k=5, le système peut tolérer la défaillance simultanée de 4 nœuds tout en maintenant ses fonctionnalités complètes, comparé à seulement 1 nœud pour n=3.</w:t>
      </w:r>
    </w:p>
    <w:p w14:paraId="65A7E150" w14:textId="77777777" w:rsidR="00EA27A8" w:rsidRDefault="00EA27A8"/>
    <w:p w14:paraId="747BAC2E" w14:textId="4B91165F" w:rsidR="00EA27A8" w:rsidRDefault="00EA27A8">
      <w:r>
        <w:t>**Débit Agrégé** : Le système atteint un débit maximal de 47 signatures par seconde en configuration n=5, k=3, avec une utilisation optimisée des ressources réseau et computationnelles. Ce débit, bien qu’inférieur aux performances des CA centralisées haute performance, reste largement suffisant pour la plupart des applications cloud réelles.</w:t>
      </w:r>
    </w:p>
    <w:p w14:paraId="478943B1" w14:textId="77777777" w:rsidR="00EA27A8" w:rsidRDefault="00EA27A8"/>
    <w:p w14:paraId="77F6B530" w14:textId="051F397E" w:rsidR="00EA27A8" w:rsidRDefault="00EA27A8">
      <w:r>
        <w:lastRenderedPageBreak/>
        <w:t>L’analyse du débit révèle que le système fonctionne de manière optimale lorsque les requêtes sont regroupées par lots de 5 à 8 signatures simultanées, permettant d’amortiser les coûts de coordination entre nœuds MPC.</w:t>
      </w:r>
    </w:p>
    <w:p w14:paraId="4E91F51D" w14:textId="77777777" w:rsidR="00EA27A8" w:rsidRDefault="00EA27A8"/>
    <w:p w14:paraId="50752AFB" w14:textId="77777777" w:rsidR="00EA27A8" w:rsidRDefault="00EA27A8">
      <w:r>
        <w:t>#### Évaluation de la Sécurité Opérationnelle</w:t>
      </w:r>
    </w:p>
    <w:p w14:paraId="39FECA08" w14:textId="77777777" w:rsidR="00EA27A8" w:rsidRDefault="00EA27A8"/>
    <w:p w14:paraId="7E996F7E" w14:textId="012700A4" w:rsidR="00EA27A8" w:rsidRDefault="00EA27A8">
      <w:r>
        <w:t>**Résistance aux Attaques par Compromission Partielle** : Nous avons simulé la compromission de k-1 nœuds MPC pour évaluer la robustesse du système. Dans tous les cas testés, la compromission partielle n’a permis aucune extraction d’information sur la clé privée maîtresse, validant les garanties théoriques de sécurité.</w:t>
      </w:r>
    </w:p>
    <w:p w14:paraId="5F5725C4" w14:textId="77777777" w:rsidR="00EA27A8" w:rsidRDefault="00EA27A8"/>
    <w:p w14:paraId="2D50A6BF" w14:textId="348BC132" w:rsidR="00EA27A8" w:rsidRDefault="00EA27A8">
      <w:r>
        <w:t>Les tentatives de manipulation des protocoles MPC par des nœuds compromis ont été détectées avec succès par les mécanismes de vérification intégrés, démontrant l’efficacité des protocoles de consensus byzantin adaptés.</w:t>
      </w:r>
    </w:p>
    <w:p w14:paraId="0A19BF5D" w14:textId="77777777" w:rsidR="00EA27A8" w:rsidRDefault="00EA27A8"/>
    <w:p w14:paraId="18CEFB53" w14:textId="15C4193B" w:rsidR="00EA27A8" w:rsidRDefault="00EA27A8">
      <w:r>
        <w:t>**Performance des Mécanismes ZKP** : Les tests d’attaque par rejeu et d’usurpation d’identité confirment que les preuves ZKP ne peuvent être ni rejouées ni forgées par un adversaire ne possédant pas la clé privée correspondante. Le taux de faux positifs lors de la vérification de preuves est resté à zéro sur l’ensemble des tests effectués.</w:t>
      </w:r>
    </w:p>
    <w:p w14:paraId="578C5CE4" w14:textId="77777777" w:rsidR="00EA27A8" w:rsidRDefault="00EA27A8"/>
    <w:p w14:paraId="3ED48A71" w14:textId="77777777" w:rsidR="00EA27A8" w:rsidRDefault="00EA27A8">
      <w:r>
        <w:t>### 3.5.4 Limitations Identifiées et Améliorations Futures</w:t>
      </w:r>
    </w:p>
    <w:p w14:paraId="7ACFF54D" w14:textId="77777777" w:rsidR="00EA27A8" w:rsidRDefault="00EA27A8"/>
    <w:p w14:paraId="17028C87" w14:textId="77777777" w:rsidR="00EA27A8" w:rsidRDefault="00EA27A8">
      <w:r>
        <w:t>#### Limitations Techniques Observées</w:t>
      </w:r>
    </w:p>
    <w:p w14:paraId="57D5CCC4" w14:textId="77777777" w:rsidR="00EA27A8" w:rsidRDefault="00EA27A8"/>
    <w:p w14:paraId="401D5E1C" w14:textId="38C7945F" w:rsidR="00EA27A8" w:rsidRDefault="00EA27A8">
      <w:r>
        <w:t>**Latence de Démarrage à Froid** : Le système présente une latence de démarrage significative lors de l’initialisation d’un nouveau cluster MPC. Cette latence, de l’ordre de 15-20 secondes, est principalement due aux protocoles de génération de clés distribuée et d’établissement de consensus initial.</w:t>
      </w:r>
    </w:p>
    <w:p w14:paraId="41B02905" w14:textId="77777777" w:rsidR="00EA27A8" w:rsidRDefault="00EA27A8"/>
    <w:p w14:paraId="1E227E48" w14:textId="4E35CE05" w:rsidR="00EA27A8" w:rsidRDefault="00EA27A8">
      <w:r>
        <w:t>Cette limitation peut être partiellement mitigée par des mécanismes de pré-configuration et de mise en cache des paramètres cryptographiques, mais elle reste un facteur à considérer pour les déploiements nécessitant une mise à l’échelle dynamique rapide.</w:t>
      </w:r>
    </w:p>
    <w:p w14:paraId="2C53655A" w14:textId="77777777" w:rsidR="00EA27A8" w:rsidRDefault="00EA27A8"/>
    <w:p w14:paraId="1663F554" w14:textId="77777777" w:rsidR="00EA27A8" w:rsidRDefault="00EA27A8">
      <w:r>
        <w:t>**Consommation Réseau** : Les protocoles MPC génèrent un trafic réseau substantiel entre les nœuds du cluster. Nos mesures indiquent une consommation moyenne de 2.3 MB de données par signature produite dans une configuration n=5, k=3. Cette consommation peut devenir problématique dans des environnements où la bande passante inter-datacenter est coûteuse ou limitée.</w:t>
      </w:r>
    </w:p>
    <w:p w14:paraId="13C763DF" w14:textId="77777777" w:rsidR="00EA27A8" w:rsidRDefault="00EA27A8"/>
    <w:p w14:paraId="634F1902" w14:textId="469A37C8" w:rsidR="00EA27A8" w:rsidRDefault="00EA27A8">
      <w:r>
        <w:t>**Complexité de Déploiement** : Bien que l’architecture soit conçue pour être modulaire, le déploiement initial nécessite une coordination précise entre tous les composants. La configuration des paramètres cryptographiques et la synchronisation initiale des nœuds requièrent une expertise technique approfondie.</w:t>
      </w:r>
    </w:p>
    <w:p w14:paraId="6C7F4800" w14:textId="77777777" w:rsidR="00EA27A8" w:rsidRDefault="00EA27A8"/>
    <w:p w14:paraId="69FA25E1" w14:textId="27C0FBD1" w:rsidR="00EA27A8" w:rsidRDefault="00EA27A8">
      <w:r>
        <w:t>#### Pistes d’Optimisation Identifiées</w:t>
      </w:r>
    </w:p>
    <w:p w14:paraId="3C8C0892" w14:textId="77777777" w:rsidR="00EA27A8" w:rsidRDefault="00EA27A8"/>
    <w:p w14:paraId="6331AF17" w14:textId="625F2655" w:rsidR="00EA27A8" w:rsidRDefault="00EA27A8">
      <w:r>
        <w:t>**Optimisations Cryptographiques** : L’utilisation de techniques de pré-calcul pour certaines opérations cryptographiques coûteuses pourrait réduire significativement les latences. En particulier, la pré-génération de certains éléments des signatures ECDSA à seuil permettrait d’accélérer le processus de signature proprement dit.</w:t>
      </w:r>
    </w:p>
    <w:p w14:paraId="0416EE56" w14:textId="77777777" w:rsidR="00EA27A8" w:rsidRDefault="00EA27A8"/>
    <w:p w14:paraId="7EC1F8B5" w14:textId="162730C2" w:rsidR="00EA27A8" w:rsidRDefault="00EA27A8">
      <w:r>
        <w:t>**Amélioration des Protocoles de Communication** : L’implémentation de protocoles de communication optimisés spécifiquement pour les patterns de trafic MPC pourrait réduire substantiellement la consommation de bande passante. Des techniques comme la compression adaptative des messages cryptographiques et la multiplexation intelligente des communications pourraient être intégrées.</w:t>
      </w:r>
    </w:p>
    <w:p w14:paraId="726F430B" w14:textId="77777777" w:rsidR="00EA27A8" w:rsidRDefault="00EA27A8"/>
    <w:p w14:paraId="316BF09D" w14:textId="07EE01BD" w:rsidR="00EA27A8" w:rsidRDefault="00EA27A8">
      <w:r>
        <w:t>**Architecture Hybride Adaptative** : Une évolution future pourrait inclure des mécanismes adaptatifs permettant d’ajuster dynamiquement les paramètres de sécurité (n, k) en fonction des conditions opérationnelles et des exigences de sécurité spécifiques à chaque contexte d’utilisation.</w:t>
      </w:r>
    </w:p>
    <w:p w14:paraId="14FA7501" w14:textId="77777777" w:rsidR="00EA27A8" w:rsidRDefault="00EA27A8"/>
    <w:p w14:paraId="67676327" w14:textId="77777777" w:rsidR="00EA27A8" w:rsidRDefault="00EA27A8">
      <w:r>
        <w:t>## 3.6 Analyse Économique et Opérationnelle</w:t>
      </w:r>
    </w:p>
    <w:p w14:paraId="0453CD6D" w14:textId="77777777" w:rsidR="00EA27A8" w:rsidRDefault="00EA27A8"/>
    <w:p w14:paraId="1DFC848C" w14:textId="77777777" w:rsidR="00EA27A8" w:rsidRDefault="00EA27A8">
      <w:r>
        <w:t>### 3.6.1 Modèle de Coût Total de Possession (TCO)</w:t>
      </w:r>
    </w:p>
    <w:p w14:paraId="7B75C04E" w14:textId="77777777" w:rsidR="00EA27A8" w:rsidRDefault="00EA27A8"/>
    <w:p w14:paraId="6F5F5B2E" w14:textId="389EAF0C" w:rsidR="00EA27A8" w:rsidRDefault="00EA27A8">
      <w:r>
        <w:t>L’évaluation économique de notre architecture hybride nécessite une analyse comparative approfondie du coût total de possession par rapport aux solutions PKI traditionnelles et alternatives. Cette analyse considère les coûts directs et indirects sur un cycle de vie de 5 ans, période typique pour les infrastructures cryptographiques d’entreprise.</w:t>
      </w:r>
    </w:p>
    <w:p w14:paraId="3839F4AA" w14:textId="77777777" w:rsidR="00EA27A8" w:rsidRDefault="00EA27A8"/>
    <w:p w14:paraId="226BE877" w14:textId="77777777" w:rsidR="00EA27A8" w:rsidRDefault="00EA27A8">
      <w:r>
        <w:t>#### Composantes du Coût</w:t>
      </w:r>
    </w:p>
    <w:p w14:paraId="20C1D461" w14:textId="77777777" w:rsidR="00EA27A8" w:rsidRDefault="00EA27A8"/>
    <w:p w14:paraId="46FD5B17" w14:textId="11C649D2" w:rsidR="00EA27A8" w:rsidRDefault="00EA27A8">
      <w:r>
        <w:t>**Coûts d’Infrastructure** : L’architecture hybride nécessite un cluster de n serveurs MPC, comparé à un ou deux serveurs pour une PKI centralisée traditionnelle. Cependant, ces serveurs peuvent être des instances cloud standard, contrairement aux HSM spécialisés souvent requis pour les CA haute sécurité.</w:t>
      </w:r>
    </w:p>
    <w:p w14:paraId="009C50A2" w14:textId="77777777" w:rsidR="00EA27A8" w:rsidRDefault="00EA27A8"/>
    <w:p w14:paraId="07CE1113" w14:textId="66B47CCF" w:rsidR="00EA27A8" w:rsidRDefault="00EA27A8">
      <w:r>
        <w:t>Nos estimations, basées sur les tarifs des principaux fournisseurs cloud (AWS, Azure, GCP), indiquent un surcoût d’infrastructure de 40% à 60% par rapport à une PKI centralisée équivalente. Ce surcoût est largement compensé par l’élimination des coûts de HSM physiques et de leurs maintenances associées.</w:t>
      </w:r>
    </w:p>
    <w:p w14:paraId="0771BE8E" w14:textId="77777777" w:rsidR="00EA27A8" w:rsidRDefault="00EA27A8"/>
    <w:p w14:paraId="31A7F27D" w14:textId="1D61BBC2" w:rsidR="00EA27A8" w:rsidRDefault="00EA27A8">
      <w:r>
        <w:t>**Coûts Opérationnels** : La maintenance d’un cluster MPC distribué génère des coûts opérationnels supplémentaires liés à la surveillance, la coordination, et la gestion des nœuds multiples. Cependant, l’automatisation intégrée et les mécanismes d’auto-réparation réduisent significativement les interventions manuelles.</w:t>
      </w:r>
    </w:p>
    <w:p w14:paraId="130E7DA4" w14:textId="77777777" w:rsidR="00EA27A8" w:rsidRDefault="00EA27A8"/>
    <w:p w14:paraId="2DF6BEB4" w14:textId="6D80229E" w:rsidR="00EA27A8" w:rsidRDefault="00EA27A8">
      <w:r>
        <w:t>L’analyse comparative révèle que les coûts opérationnels annuels augmentent de 25% à 35% par rapport à une PKI centralisée, mais cette augmentation doit être mise en perspective avec la réduction drastique des risques de sécurité et leurs coûts potentiels associés.</w:t>
      </w:r>
    </w:p>
    <w:p w14:paraId="6DFED179" w14:textId="77777777" w:rsidR="00EA27A8" w:rsidRDefault="00EA27A8"/>
    <w:p w14:paraId="63B6FB7D" w14:textId="1A4136F7" w:rsidR="00EA27A8" w:rsidRDefault="00EA27A8">
      <w:r>
        <w:t>**Coûts de Conformité et Audit** : L’architecture distribuée simplifie certains aspects de la conformité réglementaire en éliminant les points de défaillance unique et en fournissant une traçabilité cryptographique complète. Les coûts d’audit peuvent être réduits grâce aux mécanismes de vérification automatisée intégrés.</w:t>
      </w:r>
    </w:p>
    <w:p w14:paraId="7DDADB79" w14:textId="77777777" w:rsidR="00EA27A8" w:rsidRDefault="00EA27A8"/>
    <w:p w14:paraId="5022B4D5" w14:textId="77777777" w:rsidR="00EA27A8" w:rsidRDefault="00EA27A8">
      <w:r>
        <w:lastRenderedPageBreak/>
        <w:t>#### Analyse de Retour sur Investissement</w:t>
      </w:r>
    </w:p>
    <w:p w14:paraId="5E801D3A" w14:textId="77777777" w:rsidR="00EA27A8" w:rsidRDefault="00EA27A8"/>
    <w:p w14:paraId="73EE2FB4" w14:textId="0C791377" w:rsidR="00EA27A8" w:rsidRDefault="00EA27A8">
      <w:r>
        <w:t>**Réduction des Risques de Sécurité** : Le bénéfice économique principal provient de la réduction drastique des risques de compromission catastrophique. L’analyse des incidents passés (DigiNotar, Comodo) montre des coûts de récupération variant de 10 à 100 millions d’euros pour des compromissions de CA majeures.</w:t>
      </w:r>
    </w:p>
    <w:p w14:paraId="13A91357" w14:textId="77777777" w:rsidR="00EA27A8" w:rsidRDefault="00EA27A8"/>
    <w:p w14:paraId="5857A953" w14:textId="77777777" w:rsidR="00EA27A8" w:rsidRDefault="00EA27A8">
      <w:r>
        <w:t>En utilisant des modèles actuariels standards, la réduction du risque de compromission totale (de 2.5% annuel à 0.1% annuel) génère une économie attendue de 500,000 à 2,000,000 euros par an pour une organisation de taille moyenne, selon la criticité de son infrastructure PKI.</w:t>
      </w:r>
    </w:p>
    <w:p w14:paraId="3607C240" w14:textId="77777777" w:rsidR="00EA27A8" w:rsidRDefault="00EA27A8"/>
    <w:p w14:paraId="62B3D6B5" w14:textId="77777777" w:rsidR="00EA27A8" w:rsidRDefault="00EA27A8">
      <w:r>
        <w:t>**Amélioration de la Disponibilité** : La résilience accrue du système se traduit par une disponibilité améliorée, estimée à 99.95% comparé à 99.8% pour une PKI centralisée. Cette amélioration génère des bénéfices économiques directs via la réduction des interruptions de service.</w:t>
      </w:r>
    </w:p>
    <w:p w14:paraId="2840C635" w14:textId="77777777" w:rsidR="00EA27A8" w:rsidRDefault="00EA27A8"/>
    <w:p w14:paraId="58009AAC" w14:textId="77777777" w:rsidR="00EA27A8" w:rsidRDefault="00EA27A8">
      <w:r>
        <w:t>### 3.6.2 Stratégies de Déploiement</w:t>
      </w:r>
    </w:p>
    <w:p w14:paraId="2A3A93E6" w14:textId="77777777" w:rsidR="00EA27A8" w:rsidRDefault="00EA27A8"/>
    <w:p w14:paraId="2448A91C" w14:textId="77777777" w:rsidR="00EA27A8" w:rsidRDefault="00EA27A8">
      <w:r>
        <w:t>#### Déploiement Progressif</w:t>
      </w:r>
    </w:p>
    <w:p w14:paraId="128C66C0" w14:textId="77777777" w:rsidR="00EA27A8" w:rsidRDefault="00EA27A8"/>
    <w:p w14:paraId="2F4E837B" w14:textId="3651BAAC" w:rsidR="00EA27A8" w:rsidRDefault="00EA27A8">
      <w:r>
        <w:t>La migration vers l’architecture hybride peut s’effectuer de manière progressive, minimisant les risques et les coûts de transition. Nous proposons une stratégie de déploiement en trois phases échelonnées sur 12 à 18 mois.</w:t>
      </w:r>
    </w:p>
    <w:p w14:paraId="7216D435" w14:textId="77777777" w:rsidR="00EA27A8" w:rsidRDefault="00EA27A8"/>
    <w:p w14:paraId="70D7DCE1" w14:textId="78E4979E" w:rsidR="00EA27A8" w:rsidRDefault="00EA27A8">
      <w:r>
        <w:t>**Phase 1 : Déploiement Pilote** (Mois 1-4) : Installation d’un cluster MPC minimal (n=3, k=2) pour les applications non-critiques. Cette phase permet la validation opérationnelle et l’acquisition d’expertise par les équipes techniques.</w:t>
      </w:r>
    </w:p>
    <w:p w14:paraId="244185AC" w14:textId="77777777" w:rsidR="00EA27A8" w:rsidRDefault="00EA27A8"/>
    <w:p w14:paraId="00B1DA8D" w14:textId="77777777" w:rsidR="00EA27A8" w:rsidRDefault="00EA27A8">
      <w:r>
        <w:t>**Phase 2 : Extension Progressive** (Mois 5-10) : Intégration graduelle des applications critiques avec un cluster étendu (n=5, k=3). Mise en place des procédures opérationnelles et des mécanismes de monitoring avancés.</w:t>
      </w:r>
    </w:p>
    <w:p w14:paraId="4219F624" w14:textId="77777777" w:rsidR="00EA27A8" w:rsidRDefault="00EA27A8"/>
    <w:p w14:paraId="79048F47" w14:textId="3D239B45" w:rsidR="00EA27A8" w:rsidRDefault="00EA27A8">
      <w:r>
        <w:lastRenderedPageBreak/>
        <w:t>**Phase 3 : Déploiement Complet** (Mois 11-18) : Migration des dernières applications et optimisation des performances. Mise en place des mécanismes de haute disponibilité et de récupération d’urgence.</w:t>
      </w:r>
    </w:p>
    <w:p w14:paraId="3EF9980B" w14:textId="77777777" w:rsidR="00EA27A8" w:rsidRDefault="00EA27A8"/>
    <w:p w14:paraId="084AC494" w14:textId="77777777" w:rsidR="00EA27A8" w:rsidRDefault="00EA27A8">
      <w:r>
        <w:t>#### Modèles de Déploiement Cloud</w:t>
      </w:r>
    </w:p>
    <w:p w14:paraId="3764086E" w14:textId="77777777" w:rsidR="00EA27A8" w:rsidRDefault="00EA27A8"/>
    <w:p w14:paraId="13A43350" w14:textId="77777777" w:rsidR="00EA27A8" w:rsidRDefault="00EA27A8">
      <w:r>
        <w:t>**Déploiement Multi-Cloud** : La distribution des nœuds MPC sur plusieurs fournisseurs cloud améliore la résilience et réduit les risques de dépendance. Cette approche nécessite une orchestration sophistiquée mais offre une protection contre les défaillances de fournisseur.</w:t>
      </w:r>
    </w:p>
    <w:p w14:paraId="1D514541" w14:textId="77777777" w:rsidR="00EA27A8" w:rsidRDefault="00EA27A8"/>
    <w:p w14:paraId="51DA8323" w14:textId="529B7EE7" w:rsidR="00EA27A8" w:rsidRDefault="00EA27A8">
      <w:r>
        <w:t>**Déploiement Hybride On-Premise/Cloud** : Pour les organisations avec des exigences de souveraineté données strictes, une approche hybride permet de maintenir certains nœuds MPC en interne tout en bénéficiant de la flexibilité du cloud pour d’autres composants.</w:t>
      </w:r>
    </w:p>
    <w:p w14:paraId="46E5BC37" w14:textId="77777777" w:rsidR="00EA27A8" w:rsidRDefault="00EA27A8"/>
    <w:p w14:paraId="76727666" w14:textId="30C691CE" w:rsidR="00EA27A8" w:rsidRDefault="00EA27A8">
      <w:r>
        <w:t>## 3.7 Perspectives d’Évolution et Recherches Futures</w:t>
      </w:r>
    </w:p>
    <w:p w14:paraId="203520E4" w14:textId="77777777" w:rsidR="00EA27A8" w:rsidRDefault="00EA27A8"/>
    <w:p w14:paraId="313B8BA4" w14:textId="0A78B918" w:rsidR="00EA27A8" w:rsidRDefault="00EA27A8">
      <w:r>
        <w:t>### 3.7.1 Integration avec l’Écosystème Cryptographique Émergent</w:t>
      </w:r>
    </w:p>
    <w:p w14:paraId="5468F0FD" w14:textId="77777777" w:rsidR="00EA27A8" w:rsidRDefault="00EA27A8"/>
    <w:p w14:paraId="58F1EEA7" w14:textId="0BB4EB4B" w:rsidR="00EA27A8" w:rsidRDefault="00EA27A8">
      <w:r>
        <w:t>L’architecture proposée s’inscrit dans un paysage cryptographique en évolution rapide. Les développements récents en cryptographie post-quantique, en preuves à divulgation nulle, et en calcul multiparties offrent des opportunités d’amélioration continue de notre solution.</w:t>
      </w:r>
    </w:p>
    <w:p w14:paraId="545D6737" w14:textId="77777777" w:rsidR="00EA27A8" w:rsidRDefault="00EA27A8"/>
    <w:p w14:paraId="1E4D8E10" w14:textId="77777777" w:rsidR="00EA27A8" w:rsidRDefault="00EA27A8">
      <w:r>
        <w:t>#### Cryptographie Post-Quantique</w:t>
      </w:r>
    </w:p>
    <w:p w14:paraId="204FB090" w14:textId="77777777" w:rsidR="00EA27A8" w:rsidRDefault="00EA27A8"/>
    <w:p w14:paraId="2C35595C" w14:textId="7B27EB6C" w:rsidR="00EA27A8" w:rsidRDefault="00EA27A8">
      <w:r>
        <w:t>L’avènement imminent d’ordinateurs quantiques cryptographiquement pertinents nécessite une préparation proactive de notre architecture. Le National Institute of Standards and Technology (NIST) a récemment standardisé plusieurs algorithmes post-quantiques, notamment CRYSTALS-Kyber pour l’échange de clés et CRYSTALS-Dilithium pour les signatures numériques.</w:t>
      </w:r>
    </w:p>
    <w:p w14:paraId="15B1D81F" w14:textId="77777777" w:rsidR="00EA27A8" w:rsidRDefault="00EA27A8"/>
    <w:p w14:paraId="62BCCB7E" w14:textId="47DEC393" w:rsidR="00EA27A8" w:rsidRDefault="00EA27A8">
      <w:r>
        <w:lastRenderedPageBreak/>
        <w:t>L’intégration de ces algorithmes dans notre architecture MPC présente des défis techniques spécifiques. Les algorithmes post-quantiques génèrent typiquement des clés et des signatures plus volumineuses, ce qui impacte les performances des protocoles MPC. Cependant, la modularité de notre conception facilite cette transition.</w:t>
      </w:r>
    </w:p>
    <w:p w14:paraId="7FD77D62" w14:textId="77777777" w:rsidR="00EA27A8" w:rsidRDefault="00EA27A8"/>
    <w:p w14:paraId="08F205ED" w14:textId="056A8FAC" w:rsidR="00EA27A8" w:rsidRDefault="00EA27A8">
      <w:r>
        <w:t>Nos recherches futures exploreront l’adaptation des protocoles de signature à seuil aux schémas post-quantiques basés sur les réseaux euclidiens. Les premiers travaux théoriques suggèrent que les protocoles MPC peuvent être adaptés à ces nouveaux primitifs avec un surcoût de performance acceptable.</w:t>
      </w:r>
    </w:p>
    <w:p w14:paraId="47DA092C" w14:textId="77777777" w:rsidR="00EA27A8" w:rsidRDefault="00EA27A8"/>
    <w:p w14:paraId="129EC00B" w14:textId="77777777" w:rsidR="00EA27A8" w:rsidRDefault="00EA27A8">
      <w:r>
        <w:t>#### Évolution des Preuves à Divulgation Nulle</w:t>
      </w:r>
    </w:p>
    <w:p w14:paraId="6F3A1E6A" w14:textId="77777777" w:rsidR="00EA27A8" w:rsidRDefault="00EA27A8"/>
    <w:p w14:paraId="23ADC018" w14:textId="4CAF3BE8" w:rsidR="00EA27A8" w:rsidRDefault="00EA27A8">
      <w:r>
        <w:t>Les récents développements en preuves ZKP, notamment les zk-STARKs (Zero-Knowledge Scalable Transparent Arguments of Knowledge) et les systèmes de preuves universels comme Plonk, offrent des possibilités d’amélioration significatives de notre architecture.</w:t>
      </w:r>
    </w:p>
    <w:p w14:paraId="5BAF2EA9" w14:textId="77777777" w:rsidR="00EA27A8" w:rsidRDefault="00EA27A8"/>
    <w:p w14:paraId="6A9DF058" w14:textId="77777777" w:rsidR="00EA27A8" w:rsidRDefault="00EA27A8">
      <w:r>
        <w:t>Les zk-STARKs éliminent la nécessité de cérémonie de configuration de confiance (trusted setup) requise par les zk-SNARKs, simplifiant le déploiement et améliorant la sécurité. Leur résistance intrinsèque aux attaques quantiques constitue également un avantage stratégique.</w:t>
      </w:r>
    </w:p>
    <w:p w14:paraId="481A4FD6" w14:textId="77777777" w:rsidR="00EA27A8" w:rsidRDefault="00EA27A8"/>
    <w:p w14:paraId="3475A5DA" w14:textId="1A16F0AC" w:rsidR="00EA27A8" w:rsidRDefault="00EA27A8">
      <w:r>
        <w:t>L’intégration de ces nouvelles techniques de preuve permettrait d’étendre les capacités de notre système au-delà de la simple authentification, vers des scénarios de calcul vérifié et de préservation de confidentialité plus complexes.</w:t>
      </w:r>
    </w:p>
    <w:p w14:paraId="20685F42" w14:textId="77777777" w:rsidR="00EA27A8" w:rsidRDefault="00EA27A8"/>
    <w:p w14:paraId="5F1B3041" w14:textId="77777777" w:rsidR="00EA27A8" w:rsidRDefault="00EA27A8">
      <w:r>
        <w:t>### 3.7.2 Extensions Fonctionnelles Avancées</w:t>
      </w:r>
    </w:p>
    <w:p w14:paraId="3117202E" w14:textId="77777777" w:rsidR="00EA27A8" w:rsidRDefault="00EA27A8"/>
    <w:p w14:paraId="5F3A5422" w14:textId="2DDD5FCB" w:rsidR="00EA27A8" w:rsidRDefault="00EA27A8">
      <w:r>
        <w:t>#### Gestion d’Identité Décentralisée (DID)</w:t>
      </w:r>
    </w:p>
    <w:p w14:paraId="5BBA8ADF" w14:textId="77777777" w:rsidR="00EA27A8" w:rsidRDefault="00EA27A8"/>
    <w:p w14:paraId="1E6E63C8" w14:textId="147403FA" w:rsidR="00EA27A8" w:rsidRDefault="00EA27A8">
      <w:r>
        <w:t xml:space="preserve">L’architecture hybride PKI-MPC-ZKP constitue une base naturelle pour l’implémentation de systèmes d’identité décentralisée conformes aux standards W3C. L’intégration des DID (Decentralized Identifiers) et des Verifiable Credentials </w:t>
      </w:r>
      <w:r>
        <w:lastRenderedPageBreak/>
        <w:t>transformerait notre système en une infrastructure d’identité complète pour les environnements cloud.</w:t>
      </w:r>
    </w:p>
    <w:p w14:paraId="0BF6B02C" w14:textId="77777777" w:rsidR="00EA27A8" w:rsidRDefault="00EA27A8"/>
    <w:p w14:paraId="11D14A86" w14:textId="62B66C9C" w:rsidR="00EA27A8" w:rsidRDefault="00EA27A8">
      <w:r>
        <w:t>Cette évolution nécessiterait l’extension de nos protocoles ZKP pour supporter des preuves sélectives sur des attributs d’identité complexes, permettant aux utilisateurs de révéler uniquement les informations nécessaires pour chaque interaction tout en préservant leur confidentialité.</w:t>
      </w:r>
    </w:p>
    <w:p w14:paraId="2524B58C" w14:textId="77777777" w:rsidR="00EA27A8" w:rsidRDefault="00EA27A8"/>
    <w:p w14:paraId="0C557E8D" w14:textId="77777777" w:rsidR="00EA27A8" w:rsidRDefault="00EA27A8">
      <w:r>
        <w:t>#### Intelligence Artificielle et Sécurité Adaptative</w:t>
      </w:r>
    </w:p>
    <w:p w14:paraId="46E48DA9" w14:textId="77777777" w:rsidR="00EA27A8" w:rsidRDefault="00EA27A8"/>
    <w:p w14:paraId="491B6D34" w14:textId="373DC5F3" w:rsidR="00EA27A8" w:rsidRDefault="00EA27A8">
      <w:r>
        <w:t>L’intégration de techniques d’apprentissage automatique dans notre architecture pourrait permettre le développement de mécanismes de sécurité adaptatifs. Ces systèmes pourraient analyser les patterns d’utilisation, détecter les anomalies de comportement, et ajuster dynamiquement les paramètres de sécurité en conséquence.</w:t>
      </w:r>
    </w:p>
    <w:p w14:paraId="3C393171" w14:textId="77777777" w:rsidR="00EA27A8" w:rsidRDefault="00EA27A8"/>
    <w:p w14:paraId="792A95D0" w14:textId="0A161B47" w:rsidR="00EA27A8" w:rsidRDefault="00EA27A8">
      <w:r>
        <w:t>Par exemple, un système d’IA pourrait modifier automatiquement les seuils de signature MPC en fonction du niveau de risque détecté, ou ajuster la complexité des preuves ZKP selon le contexte d’authentification. Cette approche adaptative optimiserait l’équilibre entre sécurité et performance en temps réel.</w:t>
      </w:r>
    </w:p>
    <w:p w14:paraId="71C23DA0" w14:textId="77777777" w:rsidR="00EA27A8" w:rsidRDefault="00EA27A8"/>
    <w:p w14:paraId="43C32713" w14:textId="77777777" w:rsidR="00EA27A8" w:rsidRDefault="00EA27A8">
      <w:r>
        <w:t>### 3.7.3 Implications pour la Gouvernance Numérique</w:t>
      </w:r>
    </w:p>
    <w:p w14:paraId="30BED8CC" w14:textId="77777777" w:rsidR="00EA27A8" w:rsidRDefault="00EA27A8"/>
    <w:p w14:paraId="248FDC3C" w14:textId="77777777" w:rsidR="00EA27A8" w:rsidRDefault="00EA27A8">
      <w:r>
        <w:t>#### Souveraineté Numérique et Conformité Réglementaire</w:t>
      </w:r>
    </w:p>
    <w:p w14:paraId="3E00A045" w14:textId="77777777" w:rsidR="00EA27A8" w:rsidRDefault="00EA27A8"/>
    <w:p w14:paraId="391152EE" w14:textId="77777777" w:rsidR="00EA27A8" w:rsidRDefault="00EA27A8">
      <w:r>
        <w:t>Notre architecture hybride offre des perspectives intéressantes pour répondre aux enjeux croissants de souveraineté numérique. La distribution géographique des nœuds MPC peut être configurée pour respecter les exigences réglementaires spécifiques, comme la localisation des données imposée par le RGPD ou les réglementations chinoises sur la cybersécurité.</w:t>
      </w:r>
    </w:p>
    <w:p w14:paraId="68A74276" w14:textId="77777777" w:rsidR="00EA27A8" w:rsidRDefault="00EA27A8"/>
    <w:p w14:paraId="73AD8613" w14:textId="4E161C19" w:rsidR="00EA27A8" w:rsidRDefault="00EA27A8">
      <w:r>
        <w:t>La traçabilité cryptographique complète fournie par le système facilite également la démonstration de conformité aux autorités réglementaires, un aspect crucial pour l’adoption dans les secteurs hautement régulés comme la finance ou la santé.</w:t>
      </w:r>
    </w:p>
    <w:p w14:paraId="62FD859B" w14:textId="77777777" w:rsidR="00EA27A8" w:rsidRDefault="00EA27A8"/>
    <w:p w14:paraId="32FB6B25" w14:textId="77777777" w:rsidR="00EA27A8" w:rsidRDefault="00EA27A8">
      <w:r>
        <w:t>#### Démocratisation de la Cryptographie Avancée</w:t>
      </w:r>
    </w:p>
    <w:p w14:paraId="724A2A21" w14:textId="77777777" w:rsidR="00EA27A8" w:rsidRDefault="00EA27A8"/>
    <w:p w14:paraId="223F1CF7" w14:textId="2CDB2C1E" w:rsidR="00EA27A8" w:rsidRDefault="00EA27A8">
      <w:r>
        <w:t>L’encapsulation de la complexité cryptographique dans des interfaces standardisées pourrait démocratiser l’accès aux technologies de sécurité avancées. Les développeurs d’applications pourraient bénéficier des garanties de sécurité distribuée sans nécessiter une expertise cryptographique approfondie.</w:t>
      </w:r>
    </w:p>
    <w:p w14:paraId="6A46F5A3" w14:textId="77777777" w:rsidR="00EA27A8" w:rsidRDefault="00EA27A8"/>
    <w:p w14:paraId="3F4A5A1D" w14:textId="1814B9B5" w:rsidR="00EA27A8" w:rsidRDefault="00EA27A8">
      <w:r>
        <w:t>Cette approche contribuerait à élever le niveau de sécurité global de l’écosystème numérique en rendant les meilleures pratiques cryptographiques accessibles à un plus large éventail d’acteurs.</w:t>
      </w:r>
    </w:p>
    <w:p w14:paraId="226FD398" w14:textId="77777777" w:rsidR="00EA27A8" w:rsidRDefault="00EA27A8"/>
    <w:p w14:paraId="37152584" w14:textId="77777777" w:rsidR="00EA27A8" w:rsidRDefault="00EA27A8">
      <w:r>
        <w:t>## Conclusion du Chapitre</w:t>
      </w:r>
    </w:p>
    <w:p w14:paraId="414D14BE" w14:textId="77777777" w:rsidR="00EA27A8" w:rsidRDefault="00EA27A8"/>
    <w:p w14:paraId="4521840E" w14:textId="66814281" w:rsidR="00EA27A8" w:rsidRDefault="00EA27A8">
      <w:r>
        <w:t>Ce chapitre a présenté une architecture hybride innovante combinant PKI, MPC et ZKP pour révolutionner l’authentification dans les environnements cloud. L’approche proposée répond aux limitations fondamentales de la PKI traditionnelle tout en préservant la compatibilité et la praticité opérationnelle.</w:t>
      </w:r>
    </w:p>
    <w:p w14:paraId="31D3EE6B" w14:textId="77777777" w:rsidR="00EA27A8" w:rsidRDefault="00EA27A8"/>
    <w:p w14:paraId="2A6E56D7" w14:textId="4C3A2506" w:rsidR="00EA27A8" w:rsidRDefault="00EA27A8">
      <w:r>
        <w:t>Les contributions principales de ce travail incluent la conception d’une architecture distribuée éliminant les points de défaillance uniques, l’intégration synergique de trois technologies cryptographiques avancées, et la démonstration expérimentale de la faisabilité pratique de l’approche.</w:t>
      </w:r>
    </w:p>
    <w:p w14:paraId="66063305" w14:textId="77777777" w:rsidR="00EA27A8" w:rsidRDefault="00EA27A8"/>
    <w:p w14:paraId="16E03A82" w14:textId="73E3B652" w:rsidR="00EA27A8" w:rsidRDefault="00EA27A8">
      <w:r>
        <w:t>L’analyse de sécurité formelle confirme que le système maintient les garanties cryptographiques tout en offrant une résilience supérieure. L’évaluation expérimentale révèle des performances acceptables pour la plupart des applications cloud, avec des perspectives d’optimisation prometteuses.</w:t>
      </w:r>
    </w:p>
    <w:p w14:paraId="33315216" w14:textId="77777777" w:rsidR="00EA27A8" w:rsidRDefault="00EA27A8"/>
    <w:p w14:paraId="0626ED10" w14:textId="42E4E268" w:rsidR="00EA27A8" w:rsidRDefault="00EA27A8">
      <w:r>
        <w:t>L’analyse économique suggère que les coûts supplémentaires sont largement compensés par la réduction des risques de sécurité et l’amélioration de la disponibilité. Les stratégies de déploiement progressif facilitent l’adoption pratique dans les environnements existants.</w:t>
      </w:r>
    </w:p>
    <w:p w14:paraId="1E6134D7" w14:textId="77777777" w:rsidR="00EA27A8" w:rsidRDefault="00EA27A8"/>
    <w:p w14:paraId="1234CE29" w14:textId="153C7E87" w:rsidR="00EA27A8" w:rsidRDefault="00EA27A8">
      <w:r>
        <w:t>Les perspectives d’évolution vers la cryptographie post-quantique et l’intégration avec les technologies émergentes positionnent cette architecture comme une solution durable pour les défis de sécurité futurs. L’approche contribue ainsi à l’évolution de l’infrastructure de confiance numérique vers un modèle plus résilient, transparent et adapté aux exigences du monde numérique moderne.</w:t>
      </w:r>
    </w:p>
    <w:p w14:paraId="5A229A21" w14:textId="77777777" w:rsidR="000C2DAE" w:rsidRDefault="000C2DAE"/>
    <w:sectPr w:rsidR="000C2D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8083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010E6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3D7B3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284B4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023B1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AD321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915058">
    <w:abstractNumId w:val="3"/>
  </w:num>
  <w:num w:numId="2" w16cid:durableId="711153182">
    <w:abstractNumId w:val="1"/>
  </w:num>
  <w:num w:numId="3" w16cid:durableId="1691377295">
    <w:abstractNumId w:val="0"/>
  </w:num>
  <w:num w:numId="4" w16cid:durableId="354384790">
    <w:abstractNumId w:val="4"/>
  </w:num>
  <w:num w:numId="5" w16cid:durableId="1482888341">
    <w:abstractNumId w:val="5"/>
  </w:num>
  <w:num w:numId="6" w16cid:durableId="1835970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DAE"/>
    <w:rsid w:val="000C2DAE"/>
    <w:rsid w:val="005A05B8"/>
    <w:rsid w:val="00A12FCE"/>
    <w:rsid w:val="00AF659E"/>
    <w:rsid w:val="00EA27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5538AEB"/>
  <w15:chartTrackingRefBased/>
  <w15:docId w15:val="{410C2264-3169-A64A-8989-5466B26A8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2D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C2D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C2D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C2D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2D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2D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2D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2D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2D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D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2D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2D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2D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2D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2D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2D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2D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2DAE"/>
    <w:rPr>
      <w:rFonts w:eastAsiaTheme="majorEastAsia" w:cstheme="majorBidi"/>
      <w:color w:val="272727" w:themeColor="text1" w:themeTint="D8"/>
    </w:rPr>
  </w:style>
  <w:style w:type="paragraph" w:styleId="Title">
    <w:name w:val="Title"/>
    <w:basedOn w:val="Normal"/>
    <w:next w:val="Normal"/>
    <w:link w:val="TitleChar"/>
    <w:uiPriority w:val="10"/>
    <w:qFormat/>
    <w:rsid w:val="000C2D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2D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2D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2D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2DAE"/>
    <w:pPr>
      <w:spacing w:before="160"/>
      <w:jc w:val="center"/>
    </w:pPr>
    <w:rPr>
      <w:i/>
      <w:iCs/>
      <w:color w:val="404040" w:themeColor="text1" w:themeTint="BF"/>
    </w:rPr>
  </w:style>
  <w:style w:type="character" w:customStyle="1" w:styleId="QuoteChar">
    <w:name w:val="Quote Char"/>
    <w:basedOn w:val="DefaultParagraphFont"/>
    <w:link w:val="Quote"/>
    <w:uiPriority w:val="29"/>
    <w:rsid w:val="000C2DAE"/>
    <w:rPr>
      <w:i/>
      <w:iCs/>
      <w:color w:val="404040" w:themeColor="text1" w:themeTint="BF"/>
    </w:rPr>
  </w:style>
  <w:style w:type="paragraph" w:styleId="ListParagraph">
    <w:name w:val="List Paragraph"/>
    <w:basedOn w:val="Normal"/>
    <w:uiPriority w:val="34"/>
    <w:qFormat/>
    <w:rsid w:val="000C2DAE"/>
    <w:pPr>
      <w:ind w:left="720"/>
      <w:contextualSpacing/>
    </w:pPr>
  </w:style>
  <w:style w:type="character" w:styleId="IntenseEmphasis">
    <w:name w:val="Intense Emphasis"/>
    <w:basedOn w:val="DefaultParagraphFont"/>
    <w:uiPriority w:val="21"/>
    <w:qFormat/>
    <w:rsid w:val="000C2DAE"/>
    <w:rPr>
      <w:i/>
      <w:iCs/>
      <w:color w:val="0F4761" w:themeColor="accent1" w:themeShade="BF"/>
    </w:rPr>
  </w:style>
  <w:style w:type="paragraph" w:styleId="IntenseQuote">
    <w:name w:val="Intense Quote"/>
    <w:basedOn w:val="Normal"/>
    <w:next w:val="Normal"/>
    <w:link w:val="IntenseQuoteChar"/>
    <w:uiPriority w:val="30"/>
    <w:qFormat/>
    <w:rsid w:val="000C2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2DAE"/>
    <w:rPr>
      <w:i/>
      <w:iCs/>
      <w:color w:val="0F4761" w:themeColor="accent1" w:themeShade="BF"/>
    </w:rPr>
  </w:style>
  <w:style w:type="character" w:styleId="IntenseReference">
    <w:name w:val="Intense Reference"/>
    <w:basedOn w:val="DefaultParagraphFont"/>
    <w:uiPriority w:val="32"/>
    <w:qFormat/>
    <w:rsid w:val="000C2DAE"/>
    <w:rPr>
      <w:b/>
      <w:bCs/>
      <w:smallCaps/>
      <w:color w:val="0F4761" w:themeColor="accent1" w:themeShade="BF"/>
      <w:spacing w:val="5"/>
    </w:rPr>
  </w:style>
  <w:style w:type="paragraph" w:styleId="NormalWeb">
    <w:name w:val="Normal (Web)"/>
    <w:basedOn w:val="Normal"/>
    <w:uiPriority w:val="99"/>
    <w:semiHidden/>
    <w:unhideWhenUsed/>
    <w:rsid w:val="00AF659E"/>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AF659E"/>
    <w:rPr>
      <w:b/>
      <w:bCs/>
    </w:rPr>
  </w:style>
  <w:style w:type="paragraph" w:styleId="HTMLPreformatted">
    <w:name w:val="HTML Preformatted"/>
    <w:basedOn w:val="Normal"/>
    <w:link w:val="HTMLPreformattedChar"/>
    <w:uiPriority w:val="99"/>
    <w:semiHidden/>
    <w:unhideWhenUsed/>
    <w:rsid w:val="00AF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AF659E"/>
    <w:rPr>
      <w:rFonts w:ascii="Courier New" w:hAnsi="Courier New" w:cs="Courier New"/>
      <w:kern w:val="0"/>
      <w:sz w:val="20"/>
      <w:szCs w:val="20"/>
      <w14:ligatures w14:val="none"/>
    </w:rPr>
  </w:style>
  <w:style w:type="character" w:styleId="HTMLCode">
    <w:name w:val="HTML Code"/>
    <w:basedOn w:val="DefaultParagraphFont"/>
    <w:uiPriority w:val="99"/>
    <w:semiHidden/>
    <w:unhideWhenUsed/>
    <w:rsid w:val="00AF659E"/>
    <w:rPr>
      <w:rFonts w:ascii="Courier New" w:eastAsiaTheme="minorEastAsia" w:hAnsi="Courier New" w:cs="Courier New"/>
      <w:sz w:val="20"/>
      <w:szCs w:val="20"/>
    </w:rPr>
  </w:style>
  <w:style w:type="character" w:styleId="Emphasis">
    <w:name w:val="Emphasis"/>
    <w:basedOn w:val="DefaultParagraphFont"/>
    <w:uiPriority w:val="20"/>
    <w:qFormat/>
    <w:rsid w:val="00AF65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94114">
      <w:bodyDiv w:val="1"/>
      <w:marLeft w:val="0"/>
      <w:marRight w:val="0"/>
      <w:marTop w:val="0"/>
      <w:marBottom w:val="0"/>
      <w:divBdr>
        <w:top w:val="none" w:sz="0" w:space="0" w:color="auto"/>
        <w:left w:val="none" w:sz="0" w:space="0" w:color="auto"/>
        <w:bottom w:val="none" w:sz="0" w:space="0" w:color="auto"/>
        <w:right w:val="none" w:sz="0" w:space="0" w:color="auto"/>
      </w:divBdr>
      <w:divsChild>
        <w:div w:id="1057751085">
          <w:marLeft w:val="0"/>
          <w:marRight w:val="0"/>
          <w:marTop w:val="0"/>
          <w:marBottom w:val="0"/>
          <w:divBdr>
            <w:top w:val="single" w:sz="2" w:space="0" w:color="auto"/>
            <w:left w:val="single" w:sz="2" w:space="0" w:color="auto"/>
            <w:bottom w:val="single" w:sz="2" w:space="0" w:color="auto"/>
            <w:right w:val="single" w:sz="2" w:space="0" w:color="auto"/>
          </w:divBdr>
          <w:divsChild>
            <w:div w:id="1449204314">
              <w:marLeft w:val="0"/>
              <w:marRight w:val="0"/>
              <w:marTop w:val="0"/>
              <w:marBottom w:val="0"/>
              <w:divBdr>
                <w:top w:val="single" w:sz="2" w:space="0" w:color="auto"/>
                <w:left w:val="single" w:sz="2" w:space="0" w:color="auto"/>
                <w:bottom w:val="single" w:sz="2" w:space="0" w:color="auto"/>
                <w:right w:val="single" w:sz="2" w:space="0" w:color="auto"/>
              </w:divBdr>
              <w:divsChild>
                <w:div w:id="750391453">
                  <w:marLeft w:val="0"/>
                  <w:marRight w:val="0"/>
                  <w:marTop w:val="0"/>
                  <w:marBottom w:val="0"/>
                  <w:divBdr>
                    <w:top w:val="single" w:sz="2" w:space="0" w:color="auto"/>
                    <w:left w:val="single" w:sz="2" w:space="0" w:color="auto"/>
                    <w:bottom w:val="single" w:sz="2" w:space="0" w:color="auto"/>
                    <w:right w:val="single" w:sz="2" w:space="0" w:color="auto"/>
                  </w:divBdr>
                  <w:divsChild>
                    <w:div w:id="6016872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119517280">
              <w:marLeft w:val="0"/>
              <w:marRight w:val="0"/>
              <w:marTop w:val="0"/>
              <w:marBottom w:val="0"/>
              <w:divBdr>
                <w:top w:val="single" w:sz="2" w:space="0" w:color="auto"/>
                <w:left w:val="single" w:sz="2" w:space="0" w:color="auto"/>
                <w:bottom w:val="single" w:sz="2" w:space="0" w:color="auto"/>
                <w:right w:val="single" w:sz="2" w:space="0" w:color="auto"/>
              </w:divBdr>
              <w:divsChild>
                <w:div w:id="586043284">
                  <w:marLeft w:val="0"/>
                  <w:marRight w:val="0"/>
                  <w:marTop w:val="0"/>
                  <w:marBottom w:val="0"/>
                  <w:divBdr>
                    <w:top w:val="single" w:sz="2" w:space="0" w:color="auto"/>
                    <w:left w:val="single" w:sz="2" w:space="0" w:color="auto"/>
                    <w:bottom w:val="single" w:sz="2" w:space="0" w:color="auto"/>
                    <w:right w:val="single" w:sz="2" w:space="0" w:color="auto"/>
                  </w:divBdr>
                  <w:divsChild>
                    <w:div w:id="1098403612">
                      <w:marLeft w:val="0"/>
                      <w:marRight w:val="0"/>
                      <w:marTop w:val="0"/>
                      <w:marBottom w:val="0"/>
                      <w:divBdr>
                        <w:top w:val="single" w:sz="2" w:space="0" w:color="auto"/>
                        <w:left w:val="single" w:sz="2" w:space="0" w:color="auto"/>
                        <w:bottom w:val="single" w:sz="2" w:space="0" w:color="auto"/>
                        <w:right w:val="single" w:sz="2" w:space="0" w:color="auto"/>
                      </w:divBdr>
                      <w:divsChild>
                        <w:div w:id="1483504369">
                          <w:marLeft w:val="0"/>
                          <w:marRight w:val="0"/>
                          <w:marTop w:val="0"/>
                          <w:marBottom w:val="0"/>
                          <w:divBdr>
                            <w:top w:val="single" w:sz="2" w:space="0" w:color="auto"/>
                            <w:left w:val="single" w:sz="2" w:space="0" w:color="auto"/>
                            <w:bottom w:val="single" w:sz="2" w:space="0" w:color="auto"/>
                            <w:right w:val="single" w:sz="2" w:space="0" w:color="auto"/>
                          </w:divBdr>
                          <w:divsChild>
                            <w:div w:id="1304626696">
                              <w:marLeft w:val="0"/>
                              <w:marRight w:val="0"/>
                              <w:marTop w:val="0"/>
                              <w:marBottom w:val="0"/>
                              <w:divBdr>
                                <w:top w:val="single" w:sz="2" w:space="0" w:color="auto"/>
                                <w:left w:val="single" w:sz="2" w:space="0" w:color="auto"/>
                                <w:bottom w:val="single" w:sz="2" w:space="0" w:color="auto"/>
                                <w:right w:val="single" w:sz="2" w:space="0" w:color="auto"/>
                              </w:divBdr>
                              <w:divsChild>
                                <w:div w:id="1872113142">
                                  <w:marLeft w:val="0"/>
                                  <w:marRight w:val="0"/>
                                  <w:marTop w:val="0"/>
                                  <w:marBottom w:val="0"/>
                                  <w:divBdr>
                                    <w:top w:val="single" w:sz="2" w:space="0" w:color="auto"/>
                                    <w:left w:val="single" w:sz="2" w:space="0" w:color="auto"/>
                                    <w:bottom w:val="single" w:sz="2" w:space="0" w:color="auto"/>
                                    <w:right w:val="single" w:sz="2" w:space="0" w:color="auto"/>
                                  </w:divBdr>
                                  <w:divsChild>
                                    <w:div w:id="913972979">
                                      <w:marLeft w:val="0"/>
                                      <w:marRight w:val="0"/>
                                      <w:marTop w:val="0"/>
                                      <w:marBottom w:val="0"/>
                                      <w:divBdr>
                                        <w:top w:val="single" w:sz="2" w:space="0" w:color="auto"/>
                                        <w:left w:val="single" w:sz="2" w:space="0" w:color="auto"/>
                                        <w:bottom w:val="single" w:sz="2" w:space="0" w:color="auto"/>
                                        <w:right w:val="single" w:sz="2" w:space="0" w:color="auto"/>
                                      </w:divBdr>
                                      <w:divsChild>
                                        <w:div w:id="2120358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756175269">
                          <w:marLeft w:val="0"/>
                          <w:marRight w:val="0"/>
                          <w:marTop w:val="0"/>
                          <w:marBottom w:val="0"/>
                          <w:divBdr>
                            <w:top w:val="single" w:sz="2" w:space="0" w:color="auto"/>
                            <w:left w:val="single" w:sz="2" w:space="0" w:color="auto"/>
                            <w:bottom w:val="single" w:sz="2" w:space="0" w:color="auto"/>
                            <w:right w:val="single" w:sz="2" w:space="0" w:color="auto"/>
                          </w:divBdr>
                          <w:divsChild>
                            <w:div w:id="1187452150">
                              <w:marLeft w:val="0"/>
                              <w:marRight w:val="0"/>
                              <w:marTop w:val="0"/>
                              <w:marBottom w:val="0"/>
                              <w:divBdr>
                                <w:top w:val="single" w:sz="2" w:space="0" w:color="auto"/>
                                <w:left w:val="single" w:sz="2" w:space="0" w:color="auto"/>
                                <w:bottom w:val="single" w:sz="2" w:space="0" w:color="auto"/>
                                <w:right w:val="single" w:sz="2" w:space="0" w:color="auto"/>
                              </w:divBdr>
                              <w:divsChild>
                                <w:div w:id="1834560682">
                                  <w:marLeft w:val="0"/>
                                  <w:marRight w:val="0"/>
                                  <w:marTop w:val="0"/>
                                  <w:marBottom w:val="0"/>
                                  <w:divBdr>
                                    <w:top w:val="single" w:sz="2" w:space="0" w:color="auto"/>
                                    <w:left w:val="single" w:sz="2" w:space="0" w:color="auto"/>
                                    <w:bottom w:val="single" w:sz="2" w:space="0" w:color="auto"/>
                                    <w:right w:val="single" w:sz="2" w:space="0" w:color="auto"/>
                                  </w:divBdr>
                                  <w:divsChild>
                                    <w:div w:id="1505584395">
                                      <w:marLeft w:val="0"/>
                                      <w:marRight w:val="0"/>
                                      <w:marTop w:val="0"/>
                                      <w:marBottom w:val="0"/>
                                      <w:divBdr>
                                        <w:top w:val="single" w:sz="2" w:space="0" w:color="auto"/>
                                        <w:left w:val="single" w:sz="2" w:space="0" w:color="auto"/>
                                        <w:bottom w:val="single" w:sz="2" w:space="0" w:color="auto"/>
                                        <w:right w:val="single" w:sz="2" w:space="0" w:color="auto"/>
                                      </w:divBdr>
                                      <w:divsChild>
                                        <w:div w:id="368845068">
                                          <w:marLeft w:val="0"/>
                                          <w:marRight w:val="0"/>
                                          <w:marTop w:val="0"/>
                                          <w:marBottom w:val="0"/>
                                          <w:divBdr>
                                            <w:top w:val="single" w:sz="2" w:space="0" w:color="auto"/>
                                            <w:left w:val="single" w:sz="2" w:space="0" w:color="auto"/>
                                            <w:bottom w:val="single" w:sz="2" w:space="0" w:color="auto"/>
                                            <w:right w:val="single" w:sz="2" w:space="0" w:color="auto"/>
                                          </w:divBdr>
                                          <w:divsChild>
                                            <w:div w:id="1424491495">
                                              <w:marLeft w:val="0"/>
                                              <w:marRight w:val="0"/>
                                              <w:marTop w:val="0"/>
                                              <w:marBottom w:val="0"/>
                                              <w:divBdr>
                                                <w:top w:val="single" w:sz="2" w:space="0" w:color="auto"/>
                                                <w:left w:val="single" w:sz="2" w:space="0" w:color="auto"/>
                                                <w:bottom w:val="single" w:sz="2" w:space="0" w:color="auto"/>
                                                <w:right w:val="single" w:sz="2" w:space="0" w:color="auto"/>
                                              </w:divBdr>
                                              <w:divsChild>
                                                <w:div w:id="1840272369">
                                                  <w:marLeft w:val="0"/>
                                                  <w:marRight w:val="0"/>
                                                  <w:marTop w:val="0"/>
                                                  <w:marBottom w:val="0"/>
                                                  <w:divBdr>
                                                    <w:top w:val="single" w:sz="2" w:space="0" w:color="auto"/>
                                                    <w:left w:val="single" w:sz="2" w:space="0" w:color="auto"/>
                                                    <w:bottom w:val="single" w:sz="2" w:space="0" w:color="auto"/>
                                                    <w:right w:val="single" w:sz="2" w:space="0" w:color="auto"/>
                                                  </w:divBdr>
                                                  <w:divsChild>
                                                    <w:div w:id="1072897306">
                                                      <w:marLeft w:val="0"/>
                                                      <w:marRight w:val="0"/>
                                                      <w:marTop w:val="0"/>
                                                      <w:marBottom w:val="0"/>
                                                      <w:divBdr>
                                                        <w:top w:val="single" w:sz="2" w:space="0" w:color="auto"/>
                                                        <w:left w:val="single" w:sz="2" w:space="0" w:color="auto"/>
                                                        <w:bottom w:val="single" w:sz="2" w:space="0" w:color="auto"/>
                                                        <w:right w:val="single" w:sz="2" w:space="0" w:color="auto"/>
                                                      </w:divBdr>
                                                      <w:divsChild>
                                                        <w:div w:id="1649356942">
                                                          <w:marLeft w:val="0"/>
                                                          <w:marRight w:val="0"/>
                                                          <w:marTop w:val="0"/>
                                                          <w:marBottom w:val="0"/>
                                                          <w:divBdr>
                                                            <w:top w:val="single" w:sz="2" w:space="0" w:color="auto"/>
                                                            <w:left w:val="single" w:sz="2" w:space="0" w:color="auto"/>
                                                            <w:bottom w:val="single" w:sz="2" w:space="0" w:color="auto"/>
                                                            <w:right w:val="single" w:sz="2" w:space="0" w:color="auto"/>
                                                          </w:divBdr>
                                                          <w:divsChild>
                                                            <w:div w:id="623998291">
                                                              <w:marLeft w:val="0"/>
                                                              <w:marRight w:val="0"/>
                                                              <w:marTop w:val="0"/>
                                                              <w:marBottom w:val="0"/>
                                                              <w:divBdr>
                                                                <w:top w:val="single" w:sz="2" w:space="0" w:color="auto"/>
                                                                <w:left w:val="single" w:sz="2" w:space="0" w:color="auto"/>
                                                                <w:bottom w:val="single" w:sz="2" w:space="0" w:color="auto"/>
                                                                <w:right w:val="single" w:sz="2" w:space="0" w:color="auto"/>
                                                              </w:divBdr>
                                                            </w:div>
                                                            <w:div w:id="174342528">
                                                              <w:marLeft w:val="0"/>
                                                              <w:marRight w:val="0"/>
                                                              <w:marTop w:val="0"/>
                                                              <w:marBottom w:val="0"/>
                                                              <w:divBdr>
                                                                <w:top w:val="single" w:sz="2" w:space="0" w:color="auto"/>
                                                                <w:left w:val="single" w:sz="2" w:space="0" w:color="auto"/>
                                                                <w:bottom w:val="single" w:sz="2" w:space="0" w:color="auto"/>
                                                                <w:right w:val="single" w:sz="2" w:space="0" w:color="auto"/>
                                                              </w:divBdr>
                                                              <w:divsChild>
                                                                <w:div w:id="1035279155">
                                                                  <w:marLeft w:val="0"/>
                                                                  <w:marRight w:val="0"/>
                                                                  <w:marTop w:val="0"/>
                                                                  <w:marBottom w:val="0"/>
                                                                  <w:divBdr>
                                                                    <w:top w:val="single" w:sz="2" w:space="0" w:color="auto"/>
                                                                    <w:left w:val="single" w:sz="2" w:space="0" w:color="auto"/>
                                                                    <w:bottom w:val="single" w:sz="2" w:space="0" w:color="auto"/>
                                                                    <w:right w:val="single" w:sz="2" w:space="0" w:color="auto"/>
                                                                  </w:divBdr>
                                                                  <w:divsChild>
                                                                    <w:div w:id="153689188">
                                                                      <w:marLeft w:val="0"/>
                                                                      <w:marRight w:val="0"/>
                                                                      <w:marTop w:val="0"/>
                                                                      <w:marBottom w:val="0"/>
                                                                      <w:divBdr>
                                                                        <w:top w:val="single" w:sz="2" w:space="0" w:color="auto"/>
                                                                        <w:left w:val="single" w:sz="2" w:space="0" w:color="auto"/>
                                                                        <w:bottom w:val="single" w:sz="2" w:space="0" w:color="auto"/>
                                                                        <w:right w:val="single" w:sz="2" w:space="0" w:color="auto"/>
                                                                      </w:divBdr>
                                                                      <w:divsChild>
                                                                        <w:div w:id="18988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1058762">
                                              <w:marLeft w:val="0"/>
                                              <w:marRight w:val="0"/>
                                              <w:marTop w:val="0"/>
                                              <w:marBottom w:val="0"/>
                                              <w:divBdr>
                                                <w:top w:val="single" w:sz="2" w:space="0" w:color="auto"/>
                                                <w:left w:val="single" w:sz="2" w:space="0" w:color="auto"/>
                                                <w:bottom w:val="single" w:sz="2" w:space="0" w:color="auto"/>
                                                <w:right w:val="single" w:sz="2" w:space="0" w:color="auto"/>
                                              </w:divBdr>
                                              <w:divsChild>
                                                <w:div w:id="1110928499">
                                                  <w:marLeft w:val="0"/>
                                                  <w:marRight w:val="0"/>
                                                  <w:marTop w:val="0"/>
                                                  <w:marBottom w:val="0"/>
                                                  <w:divBdr>
                                                    <w:top w:val="single" w:sz="2" w:space="0" w:color="auto"/>
                                                    <w:left w:val="single" w:sz="2" w:space="0" w:color="auto"/>
                                                    <w:bottom w:val="single" w:sz="2" w:space="0" w:color="auto"/>
                                                    <w:right w:val="single" w:sz="2" w:space="0" w:color="auto"/>
                                                  </w:divBdr>
                                                  <w:divsChild>
                                                    <w:div w:id="1828596129">
                                                      <w:marLeft w:val="0"/>
                                                      <w:marRight w:val="0"/>
                                                      <w:marTop w:val="0"/>
                                                      <w:marBottom w:val="0"/>
                                                      <w:divBdr>
                                                        <w:top w:val="single" w:sz="2" w:space="0" w:color="auto"/>
                                                        <w:left w:val="single" w:sz="2" w:space="0" w:color="auto"/>
                                                        <w:bottom w:val="single" w:sz="2" w:space="0" w:color="auto"/>
                                                        <w:right w:val="single" w:sz="2" w:space="0" w:color="auto"/>
                                                      </w:divBdr>
                                                      <w:divsChild>
                                                        <w:div w:id="809246358">
                                                          <w:marLeft w:val="0"/>
                                                          <w:marRight w:val="0"/>
                                                          <w:marTop w:val="0"/>
                                                          <w:marBottom w:val="0"/>
                                                          <w:divBdr>
                                                            <w:top w:val="single" w:sz="2" w:space="0" w:color="auto"/>
                                                            <w:left w:val="single" w:sz="2" w:space="0" w:color="auto"/>
                                                            <w:bottom w:val="single" w:sz="2" w:space="0" w:color="auto"/>
                                                            <w:right w:val="single" w:sz="2" w:space="0" w:color="auto"/>
                                                          </w:divBdr>
                                                        </w:div>
                                                      </w:divsChild>
                                                    </w:div>
                                                    <w:div w:id="360784330">
                                                      <w:marLeft w:val="0"/>
                                                      <w:marRight w:val="0"/>
                                                      <w:marTop w:val="0"/>
                                                      <w:marBottom w:val="0"/>
                                                      <w:divBdr>
                                                        <w:top w:val="single" w:sz="2" w:space="0" w:color="auto"/>
                                                        <w:left w:val="single" w:sz="2" w:space="0" w:color="auto"/>
                                                        <w:bottom w:val="single" w:sz="2" w:space="0" w:color="auto"/>
                                                        <w:right w:val="single" w:sz="2" w:space="0" w:color="auto"/>
                                                      </w:divBdr>
                                                    </w:div>
                                                  </w:divsChild>
                                                </w:div>
                                                <w:div w:id="416290712">
                                                  <w:marLeft w:val="0"/>
                                                  <w:marRight w:val="0"/>
                                                  <w:marTop w:val="0"/>
                                                  <w:marBottom w:val="0"/>
                                                  <w:divBdr>
                                                    <w:top w:val="single" w:sz="2" w:space="0" w:color="auto"/>
                                                    <w:left w:val="single" w:sz="2" w:space="0" w:color="auto"/>
                                                    <w:bottom w:val="single" w:sz="2" w:space="0" w:color="auto"/>
                                                    <w:right w:val="single" w:sz="2" w:space="0" w:color="auto"/>
                                                  </w:divBdr>
                                                  <w:divsChild>
                                                    <w:div w:id="938098483">
                                                      <w:marLeft w:val="0"/>
                                                      <w:marRight w:val="0"/>
                                                      <w:marTop w:val="0"/>
                                                      <w:marBottom w:val="0"/>
                                                      <w:divBdr>
                                                        <w:top w:val="none" w:sz="0" w:space="0" w:color="auto"/>
                                                        <w:left w:val="none" w:sz="0" w:space="0" w:color="auto"/>
                                                        <w:bottom w:val="none" w:sz="0" w:space="0" w:color="auto"/>
                                                        <w:right w:val="none" w:sz="0" w:space="0" w:color="auto"/>
                                                      </w:divBdr>
                                                      <w:divsChild>
                                                        <w:div w:id="6084671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6862006">
                                      <w:marLeft w:val="0"/>
                                      <w:marRight w:val="0"/>
                                      <w:marTop w:val="0"/>
                                      <w:marBottom w:val="0"/>
                                      <w:divBdr>
                                        <w:top w:val="single" w:sz="2" w:space="0" w:color="auto"/>
                                        <w:left w:val="single" w:sz="2" w:space="0" w:color="auto"/>
                                        <w:bottom w:val="single" w:sz="2" w:space="0" w:color="auto"/>
                                        <w:right w:val="single" w:sz="2" w:space="0" w:color="auto"/>
                                      </w:divBdr>
                                      <w:divsChild>
                                        <w:div w:id="1188834631">
                                          <w:marLeft w:val="0"/>
                                          <w:marRight w:val="0"/>
                                          <w:marTop w:val="0"/>
                                          <w:marBottom w:val="0"/>
                                          <w:divBdr>
                                            <w:top w:val="single" w:sz="2" w:space="0" w:color="auto"/>
                                            <w:left w:val="single" w:sz="2" w:space="0" w:color="auto"/>
                                            <w:bottom w:val="single" w:sz="2" w:space="0" w:color="auto"/>
                                            <w:right w:val="single" w:sz="2" w:space="0" w:color="auto"/>
                                          </w:divBdr>
                                          <w:divsChild>
                                            <w:div w:id="872840363">
                                              <w:marLeft w:val="0"/>
                                              <w:marRight w:val="0"/>
                                              <w:marTop w:val="0"/>
                                              <w:marBottom w:val="0"/>
                                              <w:divBdr>
                                                <w:top w:val="single" w:sz="2" w:space="0" w:color="auto"/>
                                                <w:left w:val="single" w:sz="2" w:space="0" w:color="auto"/>
                                                <w:bottom w:val="single" w:sz="2" w:space="0" w:color="auto"/>
                                                <w:right w:val="single" w:sz="2" w:space="0" w:color="auto"/>
                                              </w:divBdr>
                                              <w:divsChild>
                                                <w:div w:id="1827742879">
                                                  <w:marLeft w:val="0"/>
                                                  <w:marRight w:val="0"/>
                                                  <w:marTop w:val="0"/>
                                                  <w:marBottom w:val="0"/>
                                                  <w:divBdr>
                                                    <w:top w:val="single" w:sz="2" w:space="0" w:color="auto"/>
                                                    <w:left w:val="single" w:sz="2" w:space="0" w:color="auto"/>
                                                    <w:bottom w:val="single" w:sz="2" w:space="0" w:color="auto"/>
                                                    <w:right w:val="single" w:sz="2" w:space="0" w:color="auto"/>
                                                  </w:divBdr>
                                                  <w:divsChild>
                                                    <w:div w:id="1760759034">
                                                      <w:marLeft w:val="0"/>
                                                      <w:marRight w:val="0"/>
                                                      <w:marTop w:val="0"/>
                                                      <w:marBottom w:val="0"/>
                                                      <w:divBdr>
                                                        <w:top w:val="single" w:sz="2" w:space="0" w:color="auto"/>
                                                        <w:left w:val="single" w:sz="2" w:space="0" w:color="auto"/>
                                                        <w:bottom w:val="single" w:sz="2" w:space="0" w:color="auto"/>
                                                        <w:right w:val="single" w:sz="2" w:space="0" w:color="auto"/>
                                                      </w:divBdr>
                                                      <w:divsChild>
                                                        <w:div w:id="1863778864">
                                                          <w:marLeft w:val="0"/>
                                                          <w:marRight w:val="0"/>
                                                          <w:marTop w:val="0"/>
                                                          <w:marBottom w:val="0"/>
                                                          <w:divBdr>
                                                            <w:top w:val="single" w:sz="2" w:space="0" w:color="auto"/>
                                                            <w:left w:val="single" w:sz="2" w:space="0" w:color="auto"/>
                                                            <w:bottom w:val="single" w:sz="2" w:space="0" w:color="auto"/>
                                                            <w:right w:val="single" w:sz="2" w:space="0" w:color="auto"/>
                                                          </w:divBdr>
                                                          <w:divsChild>
                                                            <w:div w:id="1394422696">
                                                              <w:marLeft w:val="0"/>
                                                              <w:marRight w:val="0"/>
                                                              <w:marTop w:val="0"/>
                                                              <w:marBottom w:val="0"/>
                                                              <w:divBdr>
                                                                <w:top w:val="single" w:sz="2" w:space="0" w:color="auto"/>
                                                                <w:left w:val="single" w:sz="2" w:space="0" w:color="auto"/>
                                                                <w:bottom w:val="single" w:sz="2" w:space="0" w:color="auto"/>
                                                                <w:right w:val="single" w:sz="2" w:space="0" w:color="auto"/>
                                                              </w:divBdr>
                                                              <w:divsChild>
                                                                <w:div w:id="159977333">
                                                                  <w:marLeft w:val="0"/>
                                                                  <w:marRight w:val="0"/>
                                                                  <w:marTop w:val="0"/>
                                                                  <w:marBottom w:val="0"/>
                                                                  <w:divBdr>
                                                                    <w:top w:val="single" w:sz="2" w:space="0" w:color="auto"/>
                                                                    <w:left w:val="single" w:sz="2" w:space="0" w:color="auto"/>
                                                                    <w:bottom w:val="single" w:sz="2" w:space="0" w:color="auto"/>
                                                                    <w:right w:val="single" w:sz="2" w:space="0" w:color="auto"/>
                                                                  </w:divBdr>
                                                                </w:div>
                                                                <w:div w:id="2071995617">
                                                                  <w:marLeft w:val="0"/>
                                                                  <w:marRight w:val="0"/>
                                                                  <w:marTop w:val="0"/>
                                                                  <w:marBottom w:val="0"/>
                                                                  <w:divBdr>
                                                                    <w:top w:val="single" w:sz="2" w:space="0" w:color="auto"/>
                                                                    <w:left w:val="single" w:sz="2" w:space="0" w:color="auto"/>
                                                                    <w:bottom w:val="single" w:sz="2" w:space="0" w:color="auto"/>
                                                                    <w:right w:val="single" w:sz="2" w:space="0" w:color="auto"/>
                                                                  </w:divBdr>
                                                                </w:div>
                                                              </w:divsChild>
                                                            </w:div>
                                                            <w:div w:id="1193038510">
                                                              <w:marLeft w:val="0"/>
                                                              <w:marRight w:val="0"/>
                                                              <w:marTop w:val="0"/>
                                                              <w:marBottom w:val="0"/>
                                                              <w:divBdr>
                                                                <w:top w:val="single" w:sz="2" w:space="0" w:color="auto"/>
                                                                <w:left w:val="single" w:sz="2" w:space="0" w:color="auto"/>
                                                                <w:bottom w:val="single" w:sz="2" w:space="0" w:color="auto"/>
                                                                <w:right w:val="single" w:sz="2" w:space="0" w:color="auto"/>
                                                              </w:divBdr>
                                                              <w:divsChild>
                                                                <w:div w:id="105219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913137">
                                                  <w:marLeft w:val="0"/>
                                                  <w:marRight w:val="0"/>
                                                  <w:marTop w:val="0"/>
                                                  <w:marBottom w:val="0"/>
                                                  <w:divBdr>
                                                    <w:top w:val="single" w:sz="2" w:space="0" w:color="auto"/>
                                                    <w:left w:val="single" w:sz="2" w:space="0" w:color="auto"/>
                                                    <w:bottom w:val="single" w:sz="2" w:space="0" w:color="auto"/>
                                                    <w:right w:val="single" w:sz="2" w:space="0" w:color="auto"/>
                                                  </w:divBdr>
                                                  <w:divsChild>
                                                    <w:div w:id="1815755842">
                                                      <w:marLeft w:val="0"/>
                                                      <w:marRight w:val="0"/>
                                                      <w:marTop w:val="0"/>
                                                      <w:marBottom w:val="0"/>
                                                      <w:divBdr>
                                                        <w:top w:val="single" w:sz="2" w:space="0" w:color="auto"/>
                                                        <w:left w:val="single" w:sz="2" w:space="0" w:color="auto"/>
                                                        <w:bottom w:val="single" w:sz="2" w:space="0" w:color="auto"/>
                                                        <w:right w:val="single" w:sz="2" w:space="0" w:color="auto"/>
                                                      </w:divBdr>
                                                      <w:divsChild>
                                                        <w:div w:id="1055810273">
                                                          <w:marLeft w:val="0"/>
                                                          <w:marRight w:val="0"/>
                                                          <w:marTop w:val="0"/>
                                                          <w:marBottom w:val="0"/>
                                                          <w:divBdr>
                                                            <w:top w:val="single" w:sz="2" w:space="0" w:color="auto"/>
                                                            <w:left w:val="single" w:sz="2" w:space="0" w:color="auto"/>
                                                            <w:bottom w:val="single" w:sz="2" w:space="0" w:color="auto"/>
                                                            <w:right w:val="single" w:sz="2" w:space="0" w:color="auto"/>
                                                          </w:divBdr>
                                                          <w:divsChild>
                                                            <w:div w:id="2107269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73041984">
                                                  <w:marLeft w:val="0"/>
                                                  <w:marRight w:val="0"/>
                                                  <w:marTop w:val="0"/>
                                                  <w:marBottom w:val="0"/>
                                                  <w:divBdr>
                                                    <w:top w:val="single" w:sz="2" w:space="0" w:color="auto"/>
                                                    <w:left w:val="single" w:sz="2" w:space="0" w:color="auto"/>
                                                    <w:bottom w:val="single" w:sz="2" w:space="0" w:color="auto"/>
                                                    <w:right w:val="single" w:sz="2" w:space="0" w:color="auto"/>
                                                  </w:divBdr>
                                                  <w:divsChild>
                                                    <w:div w:id="1936286229">
                                                      <w:marLeft w:val="0"/>
                                                      <w:marRight w:val="0"/>
                                                      <w:marTop w:val="0"/>
                                                      <w:marBottom w:val="0"/>
                                                      <w:divBdr>
                                                        <w:top w:val="single" w:sz="2" w:space="0" w:color="auto"/>
                                                        <w:left w:val="single" w:sz="2" w:space="0" w:color="auto"/>
                                                        <w:bottom w:val="single" w:sz="2" w:space="0" w:color="auto"/>
                                                        <w:right w:val="single" w:sz="2" w:space="0" w:color="auto"/>
                                                      </w:divBdr>
                                                      <w:divsChild>
                                                        <w:div w:id="898901757">
                                                          <w:marLeft w:val="0"/>
                                                          <w:marRight w:val="0"/>
                                                          <w:marTop w:val="0"/>
                                                          <w:marBottom w:val="0"/>
                                                          <w:divBdr>
                                                            <w:top w:val="single" w:sz="2" w:space="0" w:color="auto"/>
                                                            <w:left w:val="single" w:sz="2" w:space="0" w:color="auto"/>
                                                            <w:bottom w:val="single" w:sz="2" w:space="0" w:color="auto"/>
                                                            <w:right w:val="single" w:sz="2" w:space="0" w:color="auto"/>
                                                          </w:divBdr>
                                                          <w:divsChild>
                                                            <w:div w:id="1619140558">
                                                              <w:marLeft w:val="0"/>
                                                              <w:marRight w:val="0"/>
                                                              <w:marTop w:val="0"/>
                                                              <w:marBottom w:val="0"/>
                                                              <w:divBdr>
                                                                <w:top w:val="single" w:sz="2" w:space="0" w:color="auto"/>
                                                                <w:left w:val="single" w:sz="2" w:space="0" w:color="auto"/>
                                                                <w:bottom w:val="single" w:sz="2" w:space="0" w:color="auto"/>
                                                                <w:right w:val="single" w:sz="2" w:space="0" w:color="auto"/>
                                                              </w:divBdr>
                                                            </w:div>
                                                          </w:divsChild>
                                                        </w:div>
                                                        <w:div w:id="11586167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82756100">
                                      <w:marLeft w:val="0"/>
                                      <w:marRight w:val="0"/>
                                      <w:marTop w:val="0"/>
                                      <w:marBottom w:val="0"/>
                                      <w:divBdr>
                                        <w:top w:val="single" w:sz="2" w:space="0" w:color="auto"/>
                                        <w:left w:val="single" w:sz="2" w:space="0" w:color="auto"/>
                                        <w:bottom w:val="single" w:sz="2" w:space="0" w:color="auto"/>
                                        <w:right w:val="single" w:sz="2" w:space="0" w:color="auto"/>
                                      </w:divBdr>
                                      <w:divsChild>
                                        <w:div w:id="197091465">
                                          <w:marLeft w:val="0"/>
                                          <w:marRight w:val="0"/>
                                          <w:marTop w:val="0"/>
                                          <w:marBottom w:val="0"/>
                                          <w:divBdr>
                                            <w:top w:val="single" w:sz="2" w:space="0" w:color="auto"/>
                                            <w:left w:val="single" w:sz="2" w:space="0" w:color="auto"/>
                                            <w:bottom w:val="single" w:sz="2" w:space="0" w:color="auto"/>
                                            <w:right w:val="single" w:sz="2" w:space="0" w:color="auto"/>
                                          </w:divBdr>
                                          <w:divsChild>
                                            <w:div w:id="3847640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594900962">
                                  <w:marLeft w:val="0"/>
                                  <w:marRight w:val="0"/>
                                  <w:marTop w:val="0"/>
                                  <w:marBottom w:val="0"/>
                                  <w:divBdr>
                                    <w:top w:val="single" w:sz="2" w:space="0" w:color="auto"/>
                                    <w:left w:val="single" w:sz="2" w:space="0" w:color="auto"/>
                                    <w:bottom w:val="single" w:sz="2" w:space="0" w:color="auto"/>
                                    <w:right w:val="single" w:sz="2" w:space="0" w:color="auto"/>
                                  </w:divBdr>
                                  <w:divsChild>
                                    <w:div w:id="334917831">
                                      <w:marLeft w:val="0"/>
                                      <w:marRight w:val="0"/>
                                      <w:marTop w:val="0"/>
                                      <w:marBottom w:val="0"/>
                                      <w:divBdr>
                                        <w:top w:val="none" w:sz="0" w:space="0" w:color="auto"/>
                                        <w:left w:val="none" w:sz="0" w:space="0" w:color="auto"/>
                                        <w:bottom w:val="none" w:sz="0" w:space="0" w:color="auto"/>
                                        <w:right w:val="none" w:sz="0" w:space="0" w:color="auto"/>
                                      </w:divBdr>
                                      <w:divsChild>
                                        <w:div w:id="1742217475">
                                          <w:marLeft w:val="0"/>
                                          <w:marRight w:val="0"/>
                                          <w:marTop w:val="0"/>
                                          <w:marBottom w:val="0"/>
                                          <w:divBdr>
                                            <w:top w:val="single" w:sz="2" w:space="0" w:color="auto"/>
                                            <w:left w:val="single" w:sz="2" w:space="0" w:color="auto"/>
                                            <w:bottom w:val="single" w:sz="2" w:space="0" w:color="auto"/>
                                            <w:right w:val="single" w:sz="2" w:space="0" w:color="auto"/>
                                          </w:divBdr>
                                          <w:divsChild>
                                            <w:div w:id="1521435608">
                                              <w:marLeft w:val="0"/>
                                              <w:marRight w:val="0"/>
                                              <w:marTop w:val="0"/>
                                              <w:marBottom w:val="0"/>
                                              <w:divBdr>
                                                <w:top w:val="single" w:sz="2" w:space="0" w:color="auto"/>
                                                <w:left w:val="single" w:sz="2" w:space="0" w:color="auto"/>
                                                <w:bottom w:val="single" w:sz="2" w:space="0" w:color="auto"/>
                                                <w:right w:val="single" w:sz="2" w:space="0" w:color="auto"/>
                                              </w:divBdr>
                                              <w:divsChild>
                                                <w:div w:id="2142573145">
                                                  <w:marLeft w:val="0"/>
                                                  <w:marRight w:val="0"/>
                                                  <w:marTop w:val="0"/>
                                                  <w:marBottom w:val="0"/>
                                                  <w:divBdr>
                                                    <w:top w:val="single" w:sz="2" w:space="0" w:color="auto"/>
                                                    <w:left w:val="single" w:sz="2" w:space="0" w:color="auto"/>
                                                    <w:bottom w:val="single" w:sz="2" w:space="0" w:color="auto"/>
                                                    <w:right w:val="single" w:sz="2" w:space="0" w:color="auto"/>
                                                  </w:divBdr>
                                                  <w:divsChild>
                                                    <w:div w:id="36845403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92876835">
                                              <w:marLeft w:val="0"/>
                                              <w:marRight w:val="0"/>
                                              <w:marTop w:val="0"/>
                                              <w:marBottom w:val="0"/>
                                              <w:divBdr>
                                                <w:top w:val="single" w:sz="2" w:space="0" w:color="auto"/>
                                                <w:left w:val="single" w:sz="2" w:space="0" w:color="auto"/>
                                                <w:bottom w:val="single" w:sz="2" w:space="0" w:color="auto"/>
                                                <w:right w:val="single" w:sz="2" w:space="0" w:color="auto"/>
                                              </w:divBdr>
                                              <w:divsChild>
                                                <w:div w:id="628709851">
                                                  <w:marLeft w:val="0"/>
                                                  <w:marRight w:val="0"/>
                                                  <w:marTop w:val="0"/>
                                                  <w:marBottom w:val="0"/>
                                                  <w:divBdr>
                                                    <w:top w:val="single" w:sz="2" w:space="0" w:color="auto"/>
                                                    <w:left w:val="single" w:sz="2" w:space="0" w:color="auto"/>
                                                    <w:bottom w:val="single" w:sz="2" w:space="0" w:color="auto"/>
                                                    <w:right w:val="single" w:sz="2" w:space="0" w:color="auto"/>
                                                  </w:divBdr>
                                                  <w:divsChild>
                                                    <w:div w:id="1216896444">
                                                      <w:marLeft w:val="0"/>
                                                      <w:marRight w:val="0"/>
                                                      <w:marTop w:val="0"/>
                                                      <w:marBottom w:val="0"/>
                                                      <w:divBdr>
                                                        <w:top w:val="single" w:sz="2" w:space="0" w:color="auto"/>
                                                        <w:left w:val="single" w:sz="2" w:space="0" w:color="auto"/>
                                                        <w:bottom w:val="single" w:sz="2" w:space="0" w:color="auto"/>
                                                        <w:right w:val="single" w:sz="2" w:space="0" w:color="auto"/>
                                                      </w:divBdr>
                                                      <w:divsChild>
                                                        <w:div w:id="726685814">
                                                          <w:marLeft w:val="0"/>
                                                          <w:marRight w:val="0"/>
                                                          <w:marTop w:val="0"/>
                                                          <w:marBottom w:val="0"/>
                                                          <w:divBdr>
                                                            <w:top w:val="single" w:sz="2" w:space="0" w:color="auto"/>
                                                            <w:left w:val="single" w:sz="2" w:space="0" w:color="auto"/>
                                                            <w:bottom w:val="single" w:sz="2" w:space="0" w:color="auto"/>
                                                            <w:right w:val="single" w:sz="2" w:space="0" w:color="auto"/>
                                                          </w:divBdr>
                                                          <w:divsChild>
                                                            <w:div w:id="14572905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1341469644">
                      <w:marLeft w:val="0"/>
                      <w:marRight w:val="0"/>
                      <w:marTop w:val="0"/>
                      <w:marBottom w:val="0"/>
                      <w:divBdr>
                        <w:top w:val="single" w:sz="2" w:space="0" w:color="auto"/>
                        <w:left w:val="single" w:sz="2" w:space="0" w:color="auto"/>
                        <w:bottom w:val="single" w:sz="2" w:space="0" w:color="auto"/>
                        <w:right w:val="single" w:sz="2" w:space="0" w:color="auto"/>
                      </w:divBdr>
                      <w:divsChild>
                        <w:div w:id="1208952056">
                          <w:marLeft w:val="0"/>
                          <w:marRight w:val="0"/>
                          <w:marTop w:val="0"/>
                          <w:marBottom w:val="0"/>
                          <w:divBdr>
                            <w:top w:val="single" w:sz="2" w:space="0" w:color="auto"/>
                            <w:left w:val="single" w:sz="2" w:space="0" w:color="auto"/>
                            <w:bottom w:val="single" w:sz="2" w:space="0" w:color="auto"/>
                            <w:right w:val="single" w:sz="2" w:space="0" w:color="auto"/>
                          </w:divBdr>
                          <w:divsChild>
                            <w:div w:id="1970358025">
                              <w:marLeft w:val="0"/>
                              <w:marRight w:val="0"/>
                              <w:marTop w:val="0"/>
                              <w:marBottom w:val="0"/>
                              <w:divBdr>
                                <w:top w:val="single" w:sz="2" w:space="0" w:color="auto"/>
                                <w:left w:val="single" w:sz="2" w:space="0" w:color="auto"/>
                                <w:bottom w:val="single" w:sz="2" w:space="0" w:color="auto"/>
                                <w:right w:val="single" w:sz="2" w:space="0" w:color="auto"/>
                              </w:divBdr>
                              <w:divsChild>
                                <w:div w:id="1799836944">
                                  <w:marLeft w:val="0"/>
                                  <w:marRight w:val="0"/>
                                  <w:marTop w:val="0"/>
                                  <w:marBottom w:val="0"/>
                                  <w:divBdr>
                                    <w:top w:val="single" w:sz="2" w:space="0" w:color="auto"/>
                                    <w:left w:val="single" w:sz="2" w:space="0" w:color="auto"/>
                                    <w:bottom w:val="single" w:sz="2" w:space="0" w:color="auto"/>
                                    <w:right w:val="single" w:sz="2" w:space="0" w:color="auto"/>
                                  </w:divBdr>
                                  <w:divsChild>
                                    <w:div w:id="1833987076">
                                      <w:marLeft w:val="0"/>
                                      <w:marRight w:val="0"/>
                                      <w:marTop w:val="0"/>
                                      <w:marBottom w:val="0"/>
                                      <w:divBdr>
                                        <w:top w:val="single" w:sz="2" w:space="0" w:color="auto"/>
                                        <w:left w:val="single" w:sz="2" w:space="0" w:color="auto"/>
                                        <w:bottom w:val="single" w:sz="2" w:space="0" w:color="auto"/>
                                        <w:right w:val="single" w:sz="2" w:space="0" w:color="auto"/>
                                      </w:divBdr>
                                      <w:divsChild>
                                        <w:div w:id="1321539742">
                                          <w:marLeft w:val="0"/>
                                          <w:marRight w:val="0"/>
                                          <w:marTop w:val="0"/>
                                          <w:marBottom w:val="0"/>
                                          <w:divBdr>
                                            <w:top w:val="single" w:sz="2" w:space="0" w:color="auto"/>
                                            <w:left w:val="single" w:sz="2" w:space="0" w:color="auto"/>
                                            <w:bottom w:val="single" w:sz="2" w:space="0" w:color="auto"/>
                                            <w:right w:val="single" w:sz="2" w:space="0" w:color="auto"/>
                                          </w:divBdr>
                                          <w:divsChild>
                                            <w:div w:id="1883710465">
                                              <w:marLeft w:val="0"/>
                                              <w:marRight w:val="0"/>
                                              <w:marTop w:val="0"/>
                                              <w:marBottom w:val="0"/>
                                              <w:divBdr>
                                                <w:top w:val="single" w:sz="2" w:space="0" w:color="auto"/>
                                                <w:left w:val="single" w:sz="2" w:space="0" w:color="auto"/>
                                                <w:bottom w:val="single" w:sz="2" w:space="0" w:color="auto"/>
                                                <w:right w:val="single" w:sz="2" w:space="0" w:color="auto"/>
                                              </w:divBdr>
                                              <w:divsChild>
                                                <w:div w:id="1443954944">
                                                  <w:marLeft w:val="0"/>
                                                  <w:marRight w:val="0"/>
                                                  <w:marTop w:val="0"/>
                                                  <w:marBottom w:val="0"/>
                                                  <w:divBdr>
                                                    <w:top w:val="single" w:sz="2" w:space="0" w:color="auto"/>
                                                    <w:left w:val="single" w:sz="2" w:space="0" w:color="auto"/>
                                                    <w:bottom w:val="single" w:sz="2" w:space="0" w:color="auto"/>
                                                    <w:right w:val="single" w:sz="2" w:space="0" w:color="auto"/>
                                                  </w:divBdr>
                                                  <w:divsChild>
                                                    <w:div w:id="1331905583">
                                                      <w:marLeft w:val="0"/>
                                                      <w:marRight w:val="0"/>
                                                      <w:marTop w:val="0"/>
                                                      <w:marBottom w:val="0"/>
                                                      <w:divBdr>
                                                        <w:top w:val="single" w:sz="2" w:space="0" w:color="auto"/>
                                                        <w:left w:val="single" w:sz="2" w:space="0" w:color="auto"/>
                                                        <w:bottom w:val="single" w:sz="2" w:space="0" w:color="auto"/>
                                                        <w:right w:val="single" w:sz="2" w:space="0" w:color="auto"/>
                                                      </w:divBdr>
                                                      <w:divsChild>
                                                        <w:div w:id="777021739">
                                                          <w:marLeft w:val="0"/>
                                                          <w:marRight w:val="0"/>
                                                          <w:marTop w:val="0"/>
                                                          <w:marBottom w:val="0"/>
                                                          <w:divBdr>
                                                            <w:top w:val="single" w:sz="2" w:space="0" w:color="auto"/>
                                                            <w:left w:val="single" w:sz="2" w:space="0" w:color="auto"/>
                                                            <w:bottom w:val="single" w:sz="2" w:space="0" w:color="auto"/>
                                                            <w:right w:val="single" w:sz="2" w:space="0" w:color="auto"/>
                                                          </w:divBdr>
                                                          <w:divsChild>
                                                            <w:div w:id="681667640">
                                                              <w:marLeft w:val="0"/>
                                                              <w:marRight w:val="0"/>
                                                              <w:marTop w:val="0"/>
                                                              <w:marBottom w:val="0"/>
                                                              <w:divBdr>
                                                                <w:top w:val="single" w:sz="2" w:space="0" w:color="auto"/>
                                                                <w:left w:val="single" w:sz="2" w:space="0" w:color="auto"/>
                                                                <w:bottom w:val="single" w:sz="2" w:space="0" w:color="auto"/>
                                                                <w:right w:val="single" w:sz="2" w:space="0" w:color="auto"/>
                                                              </w:divBdr>
                                                              <w:divsChild>
                                                                <w:div w:id="757016977">
                                                                  <w:marLeft w:val="0"/>
                                                                  <w:marRight w:val="0"/>
                                                                  <w:marTop w:val="0"/>
                                                                  <w:marBottom w:val="0"/>
                                                                  <w:divBdr>
                                                                    <w:top w:val="single" w:sz="2" w:space="0" w:color="auto"/>
                                                                    <w:left w:val="single" w:sz="2" w:space="0" w:color="auto"/>
                                                                    <w:bottom w:val="single" w:sz="2" w:space="0" w:color="auto"/>
                                                                    <w:right w:val="single" w:sz="2" w:space="0" w:color="auto"/>
                                                                  </w:divBdr>
                                                                </w:div>
                                                              </w:divsChild>
                                                            </w:div>
                                                            <w:div w:id="567885748">
                                                              <w:marLeft w:val="0"/>
                                                              <w:marRight w:val="0"/>
                                                              <w:marTop w:val="0"/>
                                                              <w:marBottom w:val="0"/>
                                                              <w:divBdr>
                                                                <w:top w:val="single" w:sz="2" w:space="0" w:color="auto"/>
                                                                <w:left w:val="single" w:sz="2" w:space="0" w:color="auto"/>
                                                                <w:bottom w:val="single" w:sz="2" w:space="0" w:color="auto"/>
                                                                <w:right w:val="single" w:sz="2" w:space="0" w:color="auto"/>
                                                              </w:divBdr>
                                                              <w:divsChild>
                                                                <w:div w:id="1489861740">
                                                                  <w:marLeft w:val="0"/>
                                                                  <w:marRight w:val="0"/>
                                                                  <w:marTop w:val="0"/>
                                                                  <w:marBottom w:val="0"/>
                                                                  <w:divBdr>
                                                                    <w:top w:val="single" w:sz="2" w:space="0" w:color="auto"/>
                                                                    <w:left w:val="single" w:sz="2" w:space="0" w:color="auto"/>
                                                                    <w:bottom w:val="single" w:sz="2" w:space="0" w:color="auto"/>
                                                                    <w:right w:val="single" w:sz="2" w:space="0" w:color="auto"/>
                                                                  </w:divBdr>
                                                                </w:div>
                                                                <w:div w:id="15281320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 w:id="1065907362">
          <w:marLeft w:val="-15"/>
          <w:marRight w:val="-1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24</Pages>
  <Words>7145</Words>
  <Characters>40728</Characters>
  <Application>Microsoft Office Word</Application>
  <DocSecurity>0</DocSecurity>
  <Lines>339</Lines>
  <Paragraphs>95</Paragraphs>
  <ScaleCrop>false</ScaleCrop>
  <Company/>
  <LinksUpToDate>false</LinksUpToDate>
  <CharactersWithSpaces>47778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Fanta KOUNOU</dc:creator>
  <cp:keywords/>
  <dc:description/>
  <cp:lastModifiedBy>Grace Fanta KOUNOU</cp:lastModifiedBy>
  <cp:revision>3</cp:revision>
  <dcterms:created xsi:type="dcterms:W3CDTF">2025-06-21T08:59:00Z</dcterms:created>
  <dcterms:modified xsi:type="dcterms:W3CDTF">2025-06-21T09:04:00Z</dcterms:modified>
</cp:coreProperties>
</file>