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widowControl w:val="false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  <mc:AlternateContent>
          <mc:Choice Requires="wps">
            <w:drawing>
              <wp:anchor behindDoc="0" distT="0" distB="0" distL="89535" distR="89535" simplePos="0" locked="0" layoutInCell="0" allowOverlap="1" relativeHeight="68">
                <wp:simplePos x="0" y="0"/>
                <wp:positionH relativeFrom="margin">
                  <wp:align>center</wp:align>
                </wp:positionH>
                <wp:positionV relativeFrom="paragraph">
                  <wp:posOffset>-87630</wp:posOffset>
                </wp:positionV>
                <wp:extent cx="6884670" cy="5351780"/>
                <wp:effectExtent l="0" t="0" r="0" b="0"/>
                <wp:wrapSquare wrapText="bothSides"/>
                <wp:docPr id="1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84640" cy="5351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W w:w="10842" w:type="dxa"/>
                              <w:jc w:val="center"/>
                              <w:tblInd w:w="0" w:type="dxa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689"/>
                              <w:gridCol w:w="10152"/>
                            </w:tblGrid>
                            <w:tr>
                              <w:trPr>
                                <w:trHeight w:val="7501" w:hRule="atLeast"/>
                              </w:trPr>
                              <w:tc>
                                <w:tcPr>
                                  <w:tcW w:w="689" w:type="dxa"/>
                                  <w:tcBorders/>
                                  <w:shd w:fill="0072CE" w:val="clear"/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10152" w:type="dxa"/>
                                  <w:tcBorders/>
                                  <w:shd w:fill="FFFFFF" w:val="clear"/>
                                  <w:tcMar>
                                    <w:left w:w="400" w:type="dxa"/>
                                  </w:tcMar>
                                </w:tcPr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b/>
                                      <w:b/>
                                      <w:bCs/>
                                      <w:color w:val="0072CE"/>
                                      <w:sz w:val="96"/>
                                      <w:szCs w:val="96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072CE"/>
                                      <w:sz w:val="96"/>
                                      <w:szCs w:val="96"/>
                                    </w:rPr>
                                    <w:t>NET BY US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color w:val="F07817"/>
                                      <w:sz w:val="52"/>
                                      <w:szCs w:val="52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color w:val="F07817"/>
                                      <w:sz w:val="52"/>
                                      <w:szCs w:val="52"/>
                                    </w:rPr>
                                    <w:t>Département des Services Internes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pBdr>
                                      <w:top w:val="single" w:sz="8" w:space="1" w:color="014276"/>
                                    </w:pBdr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/>
                                  </w:pPr>
                                  <w:r>
                                    <w:rPr>
                                      <w:rStyle w:val="StrongEmphasis"/>
                                      <w:rFonts w:eastAsia="Calibri" w:cs="Times New Roman"/>
                                      <w:b/>
                                      <w:bCs/>
                                      <w:color w:val="014276"/>
                                      <w:kern w:val="0"/>
                                      <w:sz w:val="44"/>
                                      <w:szCs w:val="44"/>
                                      <w:lang w:val="fr-FR" w:eastAsia="en-US" w:bidi="ar-SA"/>
                                    </w:rPr>
                                    <w:t>RÉFÉRENTIEL APDP - MESURES TECHNIQUES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b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014276"/>
                                      <w:sz w:val="44"/>
                                      <w:szCs w:val="44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  <w:t>Usage Responsable des Ressources Informatiques</w:t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sz w:val="40"/>
                                      <w:szCs w:val="40"/>
                                    </w:rPr>
                                  </w:r>
                                </w:p>
                                <w:p>
                                  <w:pPr>
                                    <w:pStyle w:val="Normal"/>
                                    <w:widowControl w:val="false"/>
                                    <w:spacing w:before="240" w:after="96"/>
                                    <w:rPr>
                                      <w:rFonts w:cs="Times New Roman"/>
                                      <w:b/>
                                      <w:b/>
                                      <w:bCs/>
                                      <w:color w:val="F07817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cs="Times New Roman"/>
                                      <w:b/>
                                      <w:bCs/>
                                      <w:color w:val="F07817"/>
                                      <w:szCs w:val="24"/>
                                    </w:rPr>
                                    <w:t>Document à usage interne — Confidentiel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FrameContents"/>
                              <w:spacing w:before="240" w:after="24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Frame1" path="m0,0l-2147483645,0l-2147483645,-2147483646l0,-2147483646xe" stroked="f" o:allowincell="f" style="position:absolute;margin-left:-44.25pt;margin-top:-6.9pt;width:542.05pt;height:421.35pt;mso-wrap-style:none;v-text-anchor:middle;mso-position-horizontal:center;mso-position-horizontal-relative:margin">
                <v:fill o:detectmouseclick="t" on="false"/>
                <v:stroke color="#3465a4" joinstyle="round" endcap="flat"/>
                <v:textbox>
                  <w:txbxContent>
                    <w:tbl>
                      <w:tblPr>
                        <w:tblW w:w="10842" w:type="dxa"/>
                        <w:jc w:val="center"/>
                        <w:tblInd w:w="0" w:type="dxa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689"/>
                        <w:gridCol w:w="10152"/>
                      </w:tblGrid>
                      <w:tr>
                        <w:trPr>
                          <w:trHeight w:val="7501" w:hRule="atLeast"/>
                        </w:trPr>
                        <w:tc>
                          <w:tcPr>
                            <w:tcW w:w="689" w:type="dxa"/>
                            <w:tcBorders/>
                            <w:shd w:fill="0072CE" w:val="clear"/>
                          </w:tcPr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</w:tc>
                        <w:tc>
                          <w:tcPr>
                            <w:tcW w:w="10152" w:type="dxa"/>
                            <w:tcBorders/>
                            <w:shd w:fill="FFFFFF" w:val="clear"/>
                            <w:tcMar>
                              <w:left w:w="400" w:type="dxa"/>
                            </w:tcMar>
                          </w:tcPr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b/>
                                <w:b/>
                                <w:bCs/>
                                <w:color w:val="0072CE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072CE"/>
                                <w:sz w:val="96"/>
                                <w:szCs w:val="96"/>
                              </w:rPr>
                              <w:t>NET BY US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color w:val="F07817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cs="Times New Roman"/>
                                <w:color w:val="F07817"/>
                                <w:sz w:val="52"/>
                                <w:szCs w:val="52"/>
                              </w:rPr>
                              <w:t>Département des Services Internes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pBdr>
                                <w:top w:val="single" w:sz="8" w:space="1" w:color="014276"/>
                              </w:pBdr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/>
                            </w:pPr>
                            <w:r>
                              <w:rPr>
                                <w:rStyle w:val="StrongEmphasis"/>
                                <w:rFonts w:eastAsia="Calibri" w:cs="Times New Roman"/>
                                <w:b/>
                                <w:bCs/>
                                <w:color w:val="014276"/>
                                <w:kern w:val="0"/>
                                <w:sz w:val="44"/>
                                <w:szCs w:val="44"/>
                                <w:lang w:val="fr-FR" w:eastAsia="en-US" w:bidi="ar-SA"/>
                              </w:rPr>
                              <w:t>RÉFÉRENTIEL APDP - MESURES TECHNIQUES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b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014276"/>
                                <w:sz w:val="44"/>
                                <w:szCs w:val="44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  <w:t>Usage Responsable des Ressources Informatiques</w:t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="Times New Roman"/>
                                <w:sz w:val="40"/>
                                <w:szCs w:val="40"/>
                              </w:rPr>
                            </w:r>
                          </w:p>
                          <w:p>
                            <w:pPr>
                              <w:pStyle w:val="Normal"/>
                              <w:widowControl w:val="false"/>
                              <w:spacing w:before="240" w:after="96"/>
                              <w:rPr>
                                <w:rFonts w:cs="Times New Roman"/>
                                <w:b/>
                                <w:b/>
                                <w:bCs/>
                                <w:color w:val="F07817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  <w:color w:val="F07817"/>
                                <w:szCs w:val="24"/>
                              </w:rPr>
                              <w:t>Document à usage interne — Confidentiel</w:t>
                            </w:r>
                          </w:p>
                        </w:tc>
                      </w:tr>
                    </w:tbl>
                    <w:p>
                      <w:pPr>
                        <w:pStyle w:val="FrameContents"/>
                        <w:spacing w:before="240" w:after="24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  <w:bookmarkStart w:id="0" w:name="__RefHeading___Toc9058_26263734621"/>
      <w:bookmarkStart w:id="1" w:name="_Toc2260296701"/>
      <w:bookmarkStart w:id="2" w:name="_Toc2249923771"/>
      <w:bookmarkStart w:id="3" w:name="_Toc2261096701"/>
      <w:bookmarkStart w:id="4" w:name="_Toc2262004351"/>
      <w:bookmarkStart w:id="5" w:name="_Toc2260299741"/>
      <w:bookmarkStart w:id="6" w:name="__RefHeading___Toc9058_26263734621"/>
      <w:bookmarkStart w:id="7" w:name="_Toc2260296701"/>
      <w:bookmarkStart w:id="8" w:name="_Toc2249923771"/>
      <w:bookmarkStart w:id="9" w:name="_Toc2261096701"/>
      <w:bookmarkStart w:id="10" w:name="_Toc2262004351"/>
      <w:bookmarkStart w:id="11" w:name="_Toc2260299741"/>
      <w:bookmarkEnd w:id="6"/>
      <w:bookmarkEnd w:id="7"/>
      <w:bookmarkEnd w:id="8"/>
      <w:bookmarkEnd w:id="9"/>
      <w:bookmarkEnd w:id="10"/>
      <w:bookmarkEnd w:id="11"/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Normal"/>
        <w:spacing w:before="240" w:after="96"/>
        <w:rPr>
          <w:rFonts w:cs="Times New Roman"/>
          <w:szCs w:val="24"/>
        </w:rPr>
      </w:pPr>
      <w:r>
        <w:rPr>
          <w:rFonts w:cs="Times New Roman"/>
          <w:szCs w:val="24"/>
        </w:rPr>
      </w:r>
    </w:p>
    <w:p>
      <w:pPr>
        <w:pStyle w:val="Heading1"/>
        <w:spacing w:before="240" w:after="96"/>
        <w:ind w:left="0" w:hanging="0"/>
        <w:rPr/>
      </w:pPr>
      <w:bookmarkStart w:id="12" w:name="__RefHeading___Toc9058_2626373462"/>
      <w:bookmarkStart w:id="13" w:name="_Toc226200435"/>
      <w:bookmarkStart w:id="14" w:name="_Toc224992377"/>
      <w:bookmarkStart w:id="15" w:name="_Toc226029974"/>
      <w:bookmarkStart w:id="16" w:name="_Toc226029670"/>
      <w:bookmarkStart w:id="17" w:name="_Toc226109670"/>
      <w:bookmarkEnd w:id="12"/>
      <w:r>
        <w:rPr>
          <w:rFonts w:cs="Times New Roman"/>
          <w:caps w:val="false"/>
          <w:smallCaps w:val="false"/>
          <w:sz w:val="32"/>
          <w:szCs w:val="32"/>
          <w:u w:val="single"/>
        </w:rPr>
        <w:t>TABLE DES MATIERES</w:t>
      </w:r>
      <w:bookmarkEnd w:id="13"/>
      <w:bookmarkEnd w:id="14"/>
      <w:bookmarkEnd w:id="15"/>
      <w:bookmarkEnd w:id="16"/>
      <w:bookmarkEnd w:id="17"/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r>
            <w:fldChar w:fldCharType="begin"/>
          </w:r>
          <w:r>
            <w:rPr>
              <w:rStyle w:val="IndexLink"/>
            </w:rPr>
            <w:instrText xml:space="preserve"> TOC \f \o "1-9" \h</w:instrText>
          </w:r>
          <w:r>
            <w:rPr>
              <w:rStyle w:val="IndexLink"/>
            </w:rPr>
            <w:fldChar w:fldCharType="separate"/>
          </w:r>
          <w:hyperlink w:anchor="__RefHeading___Toc9058_2626373462">
            <w:r>
              <w:rPr>
                <w:rStyle w:val="IndexLink"/>
              </w:rPr>
              <w:t>TABLE DES MATIERES</w:t>
              <w:tab/>
              <w:t>2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648_2150708505">
            <w:r>
              <w:rPr>
                <w:rStyle w:val="IndexLink"/>
              </w:rPr>
              <w:t>TABLEAU DE RÉFÉRENCE RAPIDE - MESURES PAR CLASSIFICATION</w:t>
              <w:tab/>
              <w:t>5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50_2150708505">
            <w:r>
              <w:rPr>
                <w:rStyle w:val="IndexLink"/>
              </w:rPr>
              <w:t>Consultez ce tableau pour une réponse immédiate</w:t>
              <w:tab/>
              <w:t>5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652_2150708505">
            <w:r>
              <w:rPr>
                <w:rStyle w:val="IndexLink"/>
              </w:rPr>
              <w:t>OBJECTIF ET CADRE LÉGAL</w:t>
              <w:tab/>
              <w:t>6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54_2150708505">
            <w:r>
              <w:rPr>
                <w:rStyle w:val="IndexLink"/>
              </w:rPr>
              <w:t>Objectif</w:t>
              <w:tab/>
              <w:t>6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56_2150708505">
            <w:r>
              <w:rPr>
                <w:rStyle w:val="IndexLink"/>
              </w:rPr>
              <w:t>Cadre légal - APDP Bénin</w:t>
              <w:tab/>
              <w:t>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58_2150708505">
            <w:r>
              <w:rPr>
                <w:rStyle w:val="IndexLink"/>
              </w:rPr>
              <w:t>Principes APDP</w:t>
              <w:tab/>
              <w:t>7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660_2150708505">
            <w:r>
              <w:rPr>
                <w:rStyle w:val="IndexLink"/>
              </w:rPr>
              <w:t>CLASSIFICATION DES DONNÉES</w:t>
              <w:tab/>
              <w:t>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62_2150708505">
            <w:r>
              <w:rPr>
                <w:rStyle w:val="IndexLink"/>
              </w:rPr>
              <w:t>Niveaux de classification</w:t>
              <w:tab/>
              <w:t>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64_2150708505">
            <w:r>
              <w:rPr>
                <w:rStyle w:val="IndexLink"/>
              </w:rPr>
              <w:t>Définition données personnelles (APDP)</w:t>
              <w:tab/>
              <w:t>8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66_2150708505">
            <w:r>
              <w:rPr>
                <w:rStyle w:val="IndexLink"/>
              </w:rPr>
              <w:t>Définition données sensibles (APDP)</w:t>
              <w:tab/>
              <w:t>9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668_2150708505">
            <w:r>
              <w:rPr>
                <w:rStyle w:val="IndexLink"/>
              </w:rPr>
              <w:t>Identification du niveau</w:t>
              <w:tab/>
              <w:t>9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670_2150708505">
            <w:r>
              <w:rPr>
                <w:rStyle w:val="IndexLink"/>
              </w:rPr>
              <w:t>DONNÉES PUBLIQUES [REF-APDP-PUBLIC]</w:t>
              <w:tab/>
              <w:t>10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72_2150708505">
            <w:r>
              <w:rPr>
                <w:rStyle w:val="IndexLink"/>
              </w:rPr>
              <w:t>Définition et exemples</w:t>
              <w:tab/>
              <w:t>10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74_2150708505">
            <w:r>
              <w:rPr>
                <w:rStyle w:val="IndexLink"/>
              </w:rPr>
              <w:t>Mesures techniques</w:t>
              <w:tab/>
              <w:t>10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676_2150708505">
            <w:r>
              <w:rPr>
                <w:rStyle w:val="IndexLink"/>
              </w:rPr>
              <w:t>DONNÉES INTERNES [REF-APDP-INTERNE]</w:t>
              <w:tab/>
              <w:t>11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78_2150708505">
            <w:r>
              <w:rPr>
                <w:rStyle w:val="IndexLink"/>
              </w:rPr>
              <w:t>Définition et exemples</w:t>
              <w:tab/>
              <w:t>11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80_2150708505">
            <w:r>
              <w:rPr>
                <w:rStyle w:val="IndexLink"/>
              </w:rPr>
              <w:t>Mesures techniques</w:t>
              <w:tab/>
              <w:t>11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682_2150708505">
            <w:r>
              <w:rPr>
                <w:rStyle w:val="IndexLink"/>
              </w:rPr>
              <w:t>DONNÉES PERSONNELLES STANDARD [REF-APDP-STANDARD]</w:t>
              <w:tab/>
              <w:t>12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84_2150708505">
            <w:r>
              <w:rPr>
                <w:rStyle w:val="IndexLink"/>
              </w:rPr>
              <w:t>Définition et exemples</w:t>
              <w:tab/>
              <w:t>12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686_2150708505">
            <w:r>
              <w:rPr>
                <w:rStyle w:val="IndexLink"/>
              </w:rPr>
              <w:t>Mesures techniques OBLIGATOIRES</w:t>
              <w:tab/>
              <w:t>13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688_2150708505">
            <w:r>
              <w:rPr>
                <w:rStyle w:val="IndexLink"/>
              </w:rPr>
              <w:t>Infrastructure serveur</w:t>
              <w:tab/>
              <w:t>13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690_2150708505">
            <w:r>
              <w:rPr>
                <w:rStyle w:val="IndexLink"/>
              </w:rPr>
              <w:t>Chiffrement</w:t>
              <w:tab/>
              <w:t>13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692_2150708505">
            <w:r>
              <w:rPr>
                <w:rStyle w:val="IndexLink"/>
              </w:rPr>
              <w:t>Contrôle d'accès</w:t>
              <w:tab/>
              <w:t>13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694_2150708505">
            <w:r>
              <w:rPr>
                <w:rStyle w:val="IndexLink"/>
              </w:rPr>
              <w:t>Logs et traçabilité</w:t>
              <w:tab/>
              <w:t>14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696_2150708505">
            <w:r>
              <w:rPr>
                <w:rStyle w:val="IndexLink"/>
              </w:rPr>
              <w:t>Sauvegarde et restauration</w:t>
              <w:tab/>
              <w:t>14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698_2150708505">
            <w:r>
              <w:rPr>
                <w:rStyle w:val="IndexLink"/>
              </w:rPr>
              <w:t>Destruction sécurisée</w:t>
              <w:tab/>
              <w:t>15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00_2150708505">
            <w:r>
              <w:rPr>
                <w:rStyle w:val="IndexLink"/>
              </w:rPr>
              <w:t>Mesures organisationnelles</w:t>
              <w:tab/>
              <w:t>15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02_2150708505">
            <w:r>
              <w:rPr>
                <w:rStyle w:val="IndexLink"/>
              </w:rPr>
              <w:t>AIPD (Analyse d'Impact)</w:t>
              <w:tab/>
              <w:t>16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04_2150708505">
            <w:r>
              <w:rPr>
                <w:rStyle w:val="IndexLink"/>
              </w:rPr>
              <w:t>Notification violations APDP</w:t>
              <w:tab/>
              <w:t>16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706_2150708505">
            <w:r>
              <w:rPr>
                <w:rStyle w:val="IndexLink"/>
              </w:rPr>
              <w:t>DONNÉES PERSONNELLES SENSIBLES [REF-APDP-SENSIBLE]</w:t>
              <w:tab/>
              <w:t>17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08_2150708505">
            <w:r>
              <w:rPr>
                <w:rStyle w:val="IndexLink"/>
              </w:rPr>
              <w:t>Définition et exemples</w:t>
              <w:tab/>
              <w:t>17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10_2150708505">
            <w:r>
              <w:rPr>
                <w:rStyle w:val="IndexLink"/>
              </w:rPr>
              <w:t>Mesures techniques OBLIGATOIRES RENFORCÉES</w:t>
              <w:tab/>
              <w:t>17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12_2150708505">
            <w:r>
              <w:rPr>
                <w:rStyle w:val="IndexLink"/>
              </w:rPr>
              <w:t>Infrastructure serveur</w:t>
              <w:tab/>
              <w:t>17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14_2150708505">
            <w:r>
              <w:rPr>
                <w:rStyle w:val="IndexLink"/>
              </w:rPr>
              <w:t>Chiffrement renforcé</w:t>
              <w:tab/>
              <w:t>18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16_2150708505">
            <w:r>
              <w:rPr>
                <w:rStyle w:val="IndexLink"/>
              </w:rPr>
              <w:t>Contrôle d'accès strict</w:t>
              <w:tab/>
              <w:t>18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18_2150708505">
            <w:r>
              <w:rPr>
                <w:rStyle w:val="IndexLink"/>
              </w:rPr>
              <w:t>Logs renforcés</w:t>
              <w:tab/>
              <w:t>19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20_2150708505">
            <w:r>
              <w:rPr>
                <w:rStyle w:val="IndexLink"/>
              </w:rPr>
              <w:t>Sauvegarde renforcée</w:t>
              <w:tab/>
              <w:t>19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22_2150708505">
            <w:r>
              <w:rPr>
                <w:rStyle w:val="IndexLink"/>
              </w:rPr>
              <w:t>Destruction sécurisée renforcée</w:t>
              <w:tab/>
              <w:t>19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24_2150708505">
            <w:r>
              <w:rPr>
                <w:rStyle w:val="IndexLink"/>
              </w:rPr>
              <w:t>Mesures organisationnelles renforcées</w:t>
              <w:tab/>
              <w:t>20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26_2150708505">
            <w:r>
              <w:rPr>
                <w:rStyle w:val="IndexLink"/>
              </w:rPr>
              <w:t>Restrictions légales</w:t>
              <w:tab/>
              <w:t>20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728_2150708505">
            <w:r>
              <w:rPr>
                <w:rStyle w:val="IndexLink"/>
              </w:rPr>
              <w:t>MESURES TRANSVERSALES</w:t>
              <w:tab/>
              <w:t>21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30_2150708505">
            <w:r>
              <w:rPr>
                <w:rStyle w:val="IndexLink"/>
              </w:rPr>
              <w:t>Principe de minimisation</w:t>
              <w:tab/>
              <w:t>21</w:t>
            </w:r>
          </w:hyperlink>
        </w:p>
        <w:p>
          <w:pPr>
            <w:pStyle w:val="Contents3"/>
            <w:tabs>
              <w:tab w:val="clear" w:pos="8505"/>
              <w:tab w:val="right" w:pos="9072" w:leader="dot"/>
            </w:tabs>
            <w:rPr/>
          </w:pPr>
          <w:hyperlink w:anchor="__RefHeading___Toc65732_2150708505">
            <w:r>
              <w:rPr>
                <w:rStyle w:val="IndexLink"/>
              </w:rPr>
              <w:t>Règle d'or : Ne collecter et conserver QUE les données strictement nécessaires.</w:t>
              <w:tab/>
              <w:t>21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34_2150708505">
            <w:r>
              <w:rPr>
                <w:rStyle w:val="IndexLink"/>
              </w:rPr>
              <w:t>Limitation de la durée de conservation</w:t>
              <w:tab/>
              <w:t>21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36_2150708505">
            <w:r>
              <w:rPr>
                <w:rStyle w:val="IndexLink"/>
              </w:rPr>
              <w:t>Droits des personnes</w:t>
              <w:tab/>
              <w:t>21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38_2150708505">
            <w:r>
              <w:rPr>
                <w:rStyle w:val="IndexLink"/>
              </w:rPr>
              <w:t>Sous-traitance (OVH)</w:t>
              <w:tab/>
              <w:t>22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40_2150708505">
            <w:r>
              <w:rPr>
                <w:rStyle w:val="IndexLink"/>
              </w:rPr>
              <w:t>Transferts hors Bénin</w:t>
              <w:tab/>
              <w:t>22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742_2150708505">
            <w:r>
              <w:rPr>
                <w:rStyle w:val="IndexLink"/>
              </w:rPr>
              <w:t>PROCÉDURES APDP</w:t>
              <w:tab/>
              <w:t>22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44_2150708505">
            <w:r>
              <w:rPr>
                <w:rStyle w:val="IndexLink"/>
              </w:rPr>
              <w:t>Mise en service serveur données personnelles</w:t>
              <w:tab/>
              <w:t>22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46_2150708505">
            <w:r>
              <w:rPr>
                <w:rStyle w:val="IndexLink"/>
              </w:rPr>
              <w:t>Gestion violation données</w:t>
              <w:tab/>
              <w:t>23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48_2150708505">
            <w:r>
              <w:rPr>
                <w:rStyle w:val="IndexLink"/>
              </w:rPr>
              <w:t>Exercice droits personnes</w:t>
              <w:tab/>
              <w:t>23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750_2150708505">
            <w:r>
              <w:rPr>
                <w:rStyle w:val="IndexLink"/>
              </w:rPr>
              <w:t>CONFORMITÉ ET AUDIT</w:t>
              <w:tab/>
              <w:t>24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52_2150708505">
            <w:r>
              <w:rPr>
                <w:rStyle w:val="IndexLink"/>
              </w:rPr>
              <w:t>Auto-évaluation</w:t>
              <w:tab/>
              <w:t>24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54_2150708505">
            <w:r>
              <w:rPr>
                <w:rStyle w:val="IndexLink"/>
              </w:rPr>
              <w:t>Audit APDP</w:t>
              <w:tab/>
              <w:t>25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56_2150708505">
            <w:r>
              <w:rPr>
                <w:rStyle w:val="IndexLink"/>
              </w:rPr>
              <w:t>Contrôle APDP (autorité)</w:t>
              <w:tab/>
              <w:t>26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758_2150708505">
            <w:r>
              <w:rPr>
                <w:rStyle w:val="IndexLink"/>
              </w:rPr>
              <w:t>TABLEAUX RÉCAPITULATIFS</w:t>
              <w:tab/>
              <w:t>27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60_2150708505">
            <w:r>
              <w:rPr>
                <w:rStyle w:val="IndexLink"/>
              </w:rPr>
              <w:t>Mesures par catégorie technique</w:t>
              <w:tab/>
              <w:t>27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62_2150708505">
            <w:r>
              <w:rPr>
                <w:rStyle w:val="IndexLink"/>
              </w:rPr>
              <w:t>Délais et fréquences</w:t>
              <w:tab/>
              <w:t>28</w:t>
            </w:r>
          </w:hyperlink>
        </w:p>
        <w:p>
          <w:pPr>
            <w:pStyle w:val="Contents1"/>
            <w:tabs>
              <w:tab w:val="clear" w:pos="9376"/>
              <w:tab w:val="right" w:pos="9072" w:leader="dot"/>
            </w:tabs>
            <w:rPr/>
          </w:pPr>
          <w:hyperlink w:anchor="__RefHeading___Toc65764_2150708505">
            <w:r>
              <w:rPr>
                <w:rStyle w:val="IndexLink"/>
              </w:rPr>
              <w:t>ANNEXES</w:t>
              <w:tab/>
              <w:t>29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66_2150708505">
            <w:r>
              <w:rPr>
                <w:rStyle w:val="IndexLink"/>
              </w:rPr>
              <w:t>Annexe A : Arbre de décision classification</w:t>
              <w:tab/>
              <w:t>29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68_2150708505">
            <w:r>
              <w:rPr>
                <w:rStyle w:val="IndexLink"/>
              </w:rPr>
              <w:t>Annexe B : Checklist mise en service données perso</w:t>
              <w:tab/>
              <w:t>31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70_2150708505">
            <w:r>
              <w:rPr>
                <w:rStyle w:val="IndexLink"/>
              </w:rPr>
              <w:t>Annexe C : Template rapport audit APDP</w:t>
              <w:tab/>
              <w:t>32</w:t>
            </w:r>
          </w:hyperlink>
        </w:p>
        <w:p>
          <w:pPr>
            <w:pStyle w:val="Contents2"/>
            <w:tabs>
              <w:tab w:val="clear" w:pos="9062"/>
              <w:tab w:val="right" w:pos="9072" w:leader="dot"/>
            </w:tabs>
            <w:rPr/>
          </w:pPr>
          <w:hyperlink w:anchor="__RefHeading___Toc65772_2150708505">
            <w:r>
              <w:rPr>
                <w:rStyle w:val="IndexLink"/>
              </w:rPr>
              <w:t>Annexe D : Contacts et ressources</w:t>
              <w:tab/>
              <w:t>33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pStyle w:val="Contents1"/>
        <w:tabs>
          <w:tab w:val="clear" w:pos="9376"/>
          <w:tab w:val="right" w:pos="9072" w:leader="dot"/>
        </w:tabs>
        <w:rPr/>
      </w:pPr>
      <w:r>
        <w:rPr/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18" w:name="__RefHeading___Toc65648_2150708505"/>
      <w:bookmarkEnd w:id="18"/>
      <w:r>
        <w:rPr/>
        <w:t>TABLEAU DE RÉFÉRENCE RAPIDE - MESURES PAR CLASSIFICATION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19" w:name="__RefHeading___Toc65650_2150708505"/>
      <w:bookmarkEnd w:id="19"/>
      <w:r>
        <w:rPr>
          <w:rStyle w:val="StrongEmphasis"/>
          <w:b/>
        </w:rPr>
        <w:t>Consultez ce tableau pour une réponse immédiate</w:t>
      </w:r>
    </w:p>
    <w:tbl>
      <w:tblPr>
        <w:tblW w:w="9072" w:type="dxa"/>
        <w:jc w:val="left"/>
        <w:tblInd w:w="0" w:type="dxa"/>
        <w:tblLayout w:type="fixed"/>
        <w:tblCellMar>
          <w:top w:w="29" w:type="dxa"/>
          <w:left w:w="29" w:type="dxa"/>
          <w:bottom w:w="29" w:type="dxa"/>
          <w:right w:w="29" w:type="dxa"/>
        </w:tblCellMar>
      </w:tblPr>
      <w:tblGrid>
        <w:gridCol w:w="2052"/>
        <w:gridCol w:w="1619"/>
        <w:gridCol w:w="1567"/>
        <w:gridCol w:w="1878"/>
        <w:gridCol w:w="1956"/>
      </w:tblGrid>
      <w:tr>
        <w:trPr/>
        <w:tc>
          <w:tcPr>
            <w:tcW w:w="2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pacing w:before="240" w:after="240"/>
              <w:rPr>
                <w:rFonts w:ascii="Times New Roman" w:hAnsi="Times New Roman" w:eastAsia="Calibri" w:cs="DejaVu Sans"/>
                <w:b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</w:pPr>
            <w:r>
              <w:rPr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Mesure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pacing w:before="240" w:after="240"/>
              <w:rPr>
                <w:rFonts w:ascii="Times New Roman" w:hAnsi="Times New Roman" w:eastAsia="Calibri" w:cs="DejaVu Sans"/>
                <w:b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</w:pPr>
            <w:r>
              <w:rPr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Données Publiques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pacing w:before="240" w:after="240"/>
              <w:rPr>
                <w:rFonts w:ascii="Times New Roman" w:hAnsi="Times New Roman" w:eastAsia="Calibri" w:cs="DejaVu Sans"/>
                <w:b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</w:pPr>
            <w:r>
              <w:rPr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Données Internes</w:t>
            </w:r>
          </w:p>
        </w:tc>
        <w:tc>
          <w:tcPr>
            <w:tcW w:w="1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pacing w:before="240" w:after="240"/>
              <w:rPr>
                <w:rFonts w:ascii="Times New Roman" w:hAnsi="Times New Roman" w:eastAsia="Calibri" w:cs="DejaVu Sans"/>
                <w:b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</w:pPr>
            <w:r>
              <w:rPr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Données Perso Standard</w:t>
            </w:r>
          </w:p>
        </w:tc>
        <w:tc>
          <w:tcPr>
            <w:tcW w:w="19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pacing w:before="240" w:after="240"/>
              <w:rPr>
                <w:rFonts w:ascii="Times New Roman" w:hAnsi="Times New Roman" w:eastAsia="Calibri" w:cs="DejaVu Sans"/>
                <w:b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</w:pPr>
            <w:r>
              <w:rPr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Données Perso Sensibles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Type serveur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Tous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VPS/Dedicated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Dedicated recommandé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Dedicated obligatoire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Chiffrement transit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Recommandé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Recommandé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HTTPS obligatoire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HTTPS obligatoire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Chiffrement repos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Recommandé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LUKS obligatoire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Chiffrement backup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Obligatoire (AES-256)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Obligatoire (AES-256)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Limitation accès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10+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10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Maximum 5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Maximum 2-3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Formation APDP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Obligatoire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Obligatoire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Logs rétention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30j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90j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90j minimum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180j minimum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Logs accès détaillés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Obligatoire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Obligatoire + audit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Revue accès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Annuelle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Semestrielle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Trimestrielle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Mensuelle/Bimestrielle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Backup fréquence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Mensuel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Hebdo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Quotidien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Quotidien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Test restauration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Annuel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Trimestriel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Trimestriel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Mensuel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AIPD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Si risque élevé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Obligatoire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Destruction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Suppression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shred 1 passe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shred 3 passes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shred 7 passes (DoD)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Notification APDP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Non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&lt; 72h si violation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&lt; 72h si violation</w:t>
            </w:r>
          </w:p>
        </w:tc>
      </w:tr>
      <w:tr>
        <w:trPr/>
        <w:tc>
          <w:tcPr>
            <w:tcW w:w="20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  <w:rFonts w:eastAsia="Calibri" w:cs="DejaVu Sans"/>
                <w:b/>
                <w:bCs/>
                <w:color w:val="014276"/>
                <w:kern w:val="0"/>
                <w:sz w:val="24"/>
                <w:szCs w:val="32"/>
                <w:lang w:val="fr-FR" w:eastAsia="en-US" w:bidi="ar-SA"/>
              </w:rPr>
              <w:t>Pseudonymisation</w:t>
            </w:r>
          </w:p>
        </w:tc>
        <w:tc>
          <w:tcPr>
            <w:tcW w:w="161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N/A</w:t>
            </w:r>
          </w:p>
        </w:tc>
        <w:tc>
          <w:tcPr>
            <w:tcW w:w="156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N/A</w:t>
            </w:r>
          </w:p>
        </w:tc>
        <w:tc>
          <w:tcPr>
            <w:tcW w:w="187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Recommandée</w:t>
            </w:r>
          </w:p>
        </w:tc>
        <w:tc>
          <w:tcPr>
            <w:tcW w:w="19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Fortement recommandée</w:t>
            </w:r>
          </w:p>
        </w:tc>
      </w:tr>
    </w:tbl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0" w:name="__RefHeading___Toc65652_2150708505"/>
      <w:bookmarkEnd w:id="20"/>
      <w:r>
        <w:rPr/>
        <w:t>OBJECTIF ET CADRE LÉGAL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1" w:name="__RefHeading___Toc65654_2150708505"/>
      <w:bookmarkEnd w:id="21"/>
      <w:r>
        <w:rPr/>
        <w:t>Objectif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Ce référentiel définit les </w:t>
      </w:r>
      <w:r>
        <w:rPr>
          <w:rStyle w:val="StrongEmphasis"/>
        </w:rPr>
        <w:t>mesures techniques de sécurité obligatoires</w:t>
      </w:r>
      <w:r>
        <w:rPr/>
        <w:t xml:space="preserve"> pour les serveurs traitant des données personnelles, en conformité avec les exigences de l'APDP (Autorité de Protection des Données à caractère Personnel du Bénin).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 xml:space="preserve">Utilisation </w:t>
      </w:r>
      <w:r>
        <w:rPr>
          <w:rStyle w:val="StrongEmphasis"/>
        </w:rPr>
        <w:t>: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Déterminer les mesures à appliquer selon le type de données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Référence lors de la mise en service (PROC-01)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Validation conformité lors des audits</w:t>
      </w:r>
    </w:p>
    <w:p>
      <w:pPr>
        <w:pStyle w:val="TextBody"/>
        <w:numPr>
          <w:ilvl w:val="0"/>
          <w:numId w:val="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Base pour les AIPD (Analyses d'Impact)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2" w:name="__RefHeading___Toc65656_2150708505"/>
      <w:bookmarkEnd w:id="22"/>
      <w:r>
        <w:rPr/>
        <w:t>Cadre légal - APDP Bénin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Loi de référence :</w:t>
      </w:r>
    </w:p>
    <w:p>
      <w:pPr>
        <w:pStyle w:val="TextBody"/>
        <w:numPr>
          <w:ilvl w:val="0"/>
          <w:numId w:val="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Loi n°2017-20 du 20 avril 2018 portant code du numérique en République du Bénin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Autorité de contrôle :</w:t>
      </w:r>
    </w:p>
    <w:p>
      <w:pPr>
        <w:pStyle w:val="TextBody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APDP (Autorité de Protection des Données à caractère Personnel)</w:t>
      </w:r>
    </w:p>
    <w:p>
      <w:pPr>
        <w:pStyle w:val="TextBody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Contact : </w:t>
      </w:r>
      <w:hyperlink r:id="rId2" w:tgtFrame="_blank">
        <w:r>
          <w:rPr>
            <w:rStyle w:val="InternetLink"/>
          </w:rPr>
          <w:t>contact@apdp.bj</w:t>
        </w:r>
      </w:hyperlink>
    </w:p>
    <w:p>
      <w:pPr>
        <w:pStyle w:val="TextBody"/>
        <w:numPr>
          <w:ilvl w:val="0"/>
          <w:numId w:val="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Site web : </w:t>
      </w:r>
      <w:hyperlink r:id="rId3" w:tgtFrame="_blank">
        <w:r>
          <w:rPr>
            <w:rStyle w:val="InternetLink"/>
          </w:rPr>
          <w:t>https://apdp.bj</w:t>
        </w:r>
      </w:hyperlink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Obligations clés :</w:t>
      </w:r>
    </w:p>
    <w:p>
      <w:pPr>
        <w:pStyle w:val="TextBody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Mesures de sécurité techniques et organisationnelles</w:t>
      </w:r>
    </w:p>
    <w:p>
      <w:pPr>
        <w:pStyle w:val="TextBody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Traçabilité des traitements</w:t>
      </w:r>
    </w:p>
    <w:p>
      <w:pPr>
        <w:pStyle w:val="TextBody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Notification violations &lt; 72h</w:t>
      </w:r>
    </w:p>
    <w:p>
      <w:pPr>
        <w:pStyle w:val="TextBody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Registre des traitements</w:t>
      </w:r>
    </w:p>
    <w:p>
      <w:pPr>
        <w:pStyle w:val="TextBody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Conservation limitée des données</w:t>
      </w:r>
    </w:p>
    <w:p>
      <w:pPr>
        <w:pStyle w:val="TextBody"/>
        <w:numPr>
          <w:ilvl w:val="0"/>
          <w:numId w:val="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Destruction sécurisée en fin de traitement</w:t>
      </w:r>
    </w:p>
    <w:p>
      <w:pPr>
        <w:pStyle w:val="Heading2"/>
        <w:ind w:left="0" w:hanging="0"/>
        <w:rPr/>
      </w:pPr>
      <w:bookmarkStart w:id="23" w:name="__RefHeading___Toc65658_2150708505"/>
      <w:bookmarkEnd w:id="23"/>
      <w:r>
        <w:rPr>
          <w:rStyle w:val="StrongEmphasis"/>
          <w:b/>
        </w:rPr>
        <w:t>Principes APDP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Principe de proportionnalité :</w:t>
      </w:r>
      <w:r>
        <w:rPr/>
        <w:t xml:space="preserve"> Les mesures de sécurité doivent être </w:t>
      </w:r>
      <w:r>
        <w:rPr>
          <w:rStyle w:val="StrongEmphasis"/>
        </w:rPr>
        <w:t>proportionnées au risque</w:t>
      </w:r>
      <w:r>
        <w:rPr/>
        <w:t xml:space="preserve"> pour les personnes concernées.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Facteurs de risque :</w:t>
      </w:r>
    </w:p>
    <w:p>
      <w:pPr>
        <w:pStyle w:val="TextBody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Nature des données (sensibles &gt; standard &gt; publiques)</w:t>
      </w:r>
    </w:p>
    <w:p>
      <w:pPr>
        <w:pStyle w:val="TextBody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Volume de personnes concernées</w:t>
      </w:r>
    </w:p>
    <w:p>
      <w:pPr>
        <w:pStyle w:val="TextBody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Finalité du traitement</w:t>
      </w:r>
    </w:p>
    <w:p>
      <w:pPr>
        <w:pStyle w:val="TextBody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Durée de conservation</w:t>
      </w:r>
    </w:p>
    <w:p>
      <w:pPr>
        <w:pStyle w:val="TextBody"/>
        <w:numPr>
          <w:ilvl w:val="0"/>
          <w:numId w:val="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Accessibilité des données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 xml:space="preserve">Approche : </w:t>
      </w:r>
      <w:r>
        <w:rPr/>
        <w:t>Plus le risque est élevé, plus les mesures doivent être renforcées.</w:t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4" w:name="__RefHeading___Toc65660_2150708505"/>
      <w:bookmarkEnd w:id="24"/>
      <w:r>
        <w:rPr/>
        <w:t>CLASSIFICATION DES DONNÉES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5" w:name="__RefHeading___Toc65662_2150708505"/>
      <w:bookmarkEnd w:id="25"/>
      <w:r>
        <w:rPr/>
        <w:t>Niveaux de classification</w:t>
      </w:r>
    </w:p>
    <w:tbl>
      <w:tblPr>
        <w:tblW w:w="9072" w:type="dxa"/>
        <w:jc w:val="left"/>
        <w:tblInd w:w="0" w:type="dxa"/>
        <w:tblLayout w:type="fixed"/>
        <w:tblCellMar>
          <w:top w:w="29" w:type="dxa"/>
          <w:left w:w="29" w:type="dxa"/>
          <w:bottom w:w="29" w:type="dxa"/>
          <w:right w:w="29" w:type="dxa"/>
        </w:tblCellMar>
      </w:tblPr>
      <w:tblGrid>
        <w:gridCol w:w="840"/>
        <w:gridCol w:w="2647"/>
        <w:gridCol w:w="2548"/>
        <w:gridCol w:w="3036"/>
      </w:tblGrid>
      <w:tr>
        <w:trPr/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uppressLineNumbers/>
              <w:spacing w:before="240" w:after="240"/>
              <w:jc w:val="center"/>
              <w:rPr/>
            </w:pPr>
            <w:r>
              <w:rPr/>
              <w:t>Niveau</w:t>
            </w:r>
          </w:p>
        </w:tc>
        <w:tc>
          <w:tcPr>
            <w:tcW w:w="2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uppressLineNumbers/>
              <w:spacing w:before="240" w:after="240"/>
              <w:jc w:val="center"/>
              <w:rPr/>
            </w:pPr>
            <w:r>
              <w:rPr/>
              <w:t>Nom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uppressLineNumbers/>
              <w:spacing w:before="240" w:after="240"/>
              <w:jc w:val="center"/>
              <w:rPr/>
            </w:pPr>
            <w:r>
              <w:rPr/>
              <w:t>Description</w:t>
            </w:r>
          </w:p>
        </w:tc>
        <w:tc>
          <w:tcPr>
            <w:tcW w:w="3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Heading"/>
              <w:widowControl w:val="false"/>
              <w:suppressLineNumbers/>
              <w:spacing w:before="240" w:after="240"/>
              <w:jc w:val="center"/>
              <w:rPr/>
            </w:pPr>
            <w:r>
              <w:rPr/>
              <w:t>Exemples</w:t>
            </w:r>
          </w:p>
        </w:tc>
      </w:tr>
      <w:tr>
        <w:trPr/>
        <w:tc>
          <w:tcPr>
            <w:tcW w:w="8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N1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Données Publiques</w:t>
            </w: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Diffusables sans restriction</w:t>
            </w:r>
          </w:p>
        </w:tc>
        <w:tc>
          <w:tcPr>
            <w:tcW w:w="30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Communiqués de presse, tarifs publics</w:t>
            </w:r>
          </w:p>
        </w:tc>
      </w:tr>
      <w:tr>
        <w:trPr/>
        <w:tc>
          <w:tcPr>
            <w:tcW w:w="8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N2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Données Internes</w:t>
            </w: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Usage interne, pas sensibles</w:t>
            </w:r>
          </w:p>
        </w:tc>
        <w:tc>
          <w:tcPr>
            <w:tcW w:w="30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Procédures internes, organigramme</w:t>
            </w:r>
          </w:p>
        </w:tc>
      </w:tr>
      <w:tr>
        <w:trPr/>
        <w:tc>
          <w:tcPr>
            <w:tcW w:w="8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N3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Données Personnelles Standard</w:t>
            </w: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Données personnelles classiques</w:t>
            </w:r>
          </w:p>
        </w:tc>
        <w:tc>
          <w:tcPr>
            <w:tcW w:w="30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Nom, email, téléphone, adresse</w:t>
            </w:r>
          </w:p>
        </w:tc>
      </w:tr>
      <w:tr>
        <w:trPr/>
        <w:tc>
          <w:tcPr>
            <w:tcW w:w="8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N4</w:t>
            </w:r>
          </w:p>
        </w:tc>
        <w:tc>
          <w:tcPr>
            <w:tcW w:w="264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>
                <w:rStyle w:val="StrongEmphasis"/>
              </w:rPr>
              <w:t>Données Personnelles Sensibles</w:t>
            </w:r>
          </w:p>
        </w:tc>
        <w:tc>
          <w:tcPr>
            <w:tcW w:w="254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Données sensibles APDP</w:t>
            </w:r>
          </w:p>
        </w:tc>
        <w:tc>
          <w:tcPr>
            <w:tcW w:w="30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TableContents"/>
              <w:widowControl w:val="false"/>
              <w:suppressLineNumbers/>
              <w:spacing w:before="240" w:after="240"/>
              <w:rPr/>
            </w:pPr>
            <w:r>
              <w:rPr/>
              <w:t>Santé, origine, opinions, religion</w:t>
            </w:r>
          </w:p>
        </w:tc>
      </w:tr>
    </w:tbl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6" w:name="__RefHeading___Toc65664_2150708505"/>
      <w:bookmarkEnd w:id="26"/>
      <w:r>
        <w:rPr/>
        <w:t>Définition données personnelles (APDP)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Donnée personnelle :</w:t>
      </w:r>
      <w:r>
        <w:rPr>
          <w:rStyle w:val="StrongEmphasis"/>
          <w:rFonts w:eastAsia="Calibri" w:cs="DejaVu Sans"/>
          <w:color w:val="auto"/>
          <w:kern w:val="0"/>
          <w:sz w:val="24"/>
          <w:szCs w:val="32"/>
          <w:lang w:val="fr-FR" w:eastAsia="en-US" w:bidi="ar-SA"/>
        </w:rPr>
        <w:t xml:space="preserve"> </w:t>
      </w:r>
      <w:r>
        <w:rPr/>
        <w:t>Toute information se rapportant à une personne physique identifiée ou identifiable.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Exemples de données personnelles :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Nom, prénom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Email, téléphone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Adresse postale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Adresse IP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Numéro de sécurité sociale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Photo, vidéo (si identifiable)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Identifiant unique (numéro client, matricule)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Données de localisation</w:t>
      </w:r>
    </w:p>
    <w:p>
      <w:pPr>
        <w:pStyle w:val="TextBody"/>
        <w:numPr>
          <w:ilvl w:val="0"/>
          <w:numId w:val="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Données de connexion (logs avec IP)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7" w:name="__RefHeading___Toc65666_2150708505"/>
      <w:bookmarkEnd w:id="27"/>
      <w:r>
        <w:rPr/>
        <w:t>Définition données sensibles (APDP)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Données sensibles :</w:t>
      </w:r>
      <w:r>
        <w:rPr/>
        <w:t xml:space="preserve"> Catégories particulières nécessitant une protection renforcée.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Liste exhaustive APDP :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Origine raciale ou ethnique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Opinions politiques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Convictions religieuses ou philosophiques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Appartenance syndicale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Données génétiques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Données biométriques (aux fins d'identification)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Données de santé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Données concernant la vie sexuelle ou l'orientation sexuelle</w:t>
      </w:r>
    </w:p>
    <w:p>
      <w:pPr>
        <w:pStyle w:val="TextBody"/>
        <w:numPr>
          <w:ilvl w:val="0"/>
          <w:numId w:val="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/>
        <w:t>Données relatives aux condamnations pénales et infractions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 xml:space="preserve"> </w:t>
      </w: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ATTENTION :</w:t>
      </w:r>
      <w:r>
        <w:rPr/>
        <w:t xml:space="preserve"> Traitement interdit sauf exceptions légales (consentement explicite, obligation légale, intérêt public, etc.)</w:t>
      </w:r>
    </w:p>
    <w:p>
      <w:pPr>
        <w:pStyle w:val="Heading3"/>
        <w:spacing w:before="40" w:after="283"/>
        <w:ind w:left="0" w:hanging="0"/>
        <w:rPr/>
      </w:pPr>
      <w:bookmarkStart w:id="28" w:name="__RefHeading___Toc65668_2150708505"/>
      <w:bookmarkEnd w:id="28"/>
      <w:r>
        <w:rPr>
          <w:rStyle w:val="StrongEmphasis"/>
          <w:rFonts w:eastAsia="Calibri" w:cs="DejaVu Sans"/>
          <w:b/>
          <w:color w:val="014276"/>
          <w:kern w:val="0"/>
          <w:sz w:val="24"/>
          <w:szCs w:val="32"/>
          <w:lang w:val="fr-FR" w:eastAsia="en-US" w:bidi="ar-SA"/>
        </w:rPr>
        <w:t>Identification du niveau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Questions à se poser :</w:t>
      </w:r>
    </w:p>
    <w:p>
      <w:pPr>
        <w:pStyle w:val="TextBody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Les données sont-elles publiques ?</w:t>
      </w:r>
      <w:r>
        <w:rPr/>
        <w:t xml:space="preserve"> (diffusables librement)</w:t>
      </w:r>
    </w:p>
    <w:p>
      <w:pPr>
        <w:pStyle w:val="TextBody"/>
        <w:numPr>
          <w:ilvl w:val="1"/>
          <w:numId w:val="8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Si OUI → </w:t>
      </w:r>
      <w:r>
        <w:rPr>
          <w:rStyle w:val="StrongEmphasis"/>
        </w:rPr>
        <w:t>Données Publiques (N1)</w:t>
      </w:r>
    </w:p>
    <w:p>
      <w:pPr>
        <w:pStyle w:val="TextBody"/>
        <w:numPr>
          <w:ilvl w:val="1"/>
          <w:numId w:val="8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Si NON → Question 2</w:t>
      </w:r>
    </w:p>
    <w:p>
      <w:pPr>
        <w:pStyle w:val="TextBody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Les données permettent-elles d'identifier une personne ?</w:t>
      </w:r>
    </w:p>
    <w:p>
      <w:pPr>
        <w:pStyle w:val="TextBody"/>
        <w:numPr>
          <w:ilvl w:val="1"/>
          <w:numId w:val="8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Si NON → </w:t>
      </w:r>
      <w:r>
        <w:rPr>
          <w:rStyle w:val="StrongEmphasis"/>
        </w:rPr>
        <w:t>Données Internes (N2)</w:t>
      </w:r>
    </w:p>
    <w:p>
      <w:pPr>
        <w:pStyle w:val="TextBody"/>
        <w:numPr>
          <w:ilvl w:val="1"/>
          <w:numId w:val="8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Si OUI → Question 3</w:t>
      </w:r>
    </w:p>
    <w:p>
      <w:pPr>
        <w:pStyle w:val="TextBody"/>
        <w:numPr>
          <w:ilvl w:val="0"/>
          <w:numId w:val="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Les données sont-elles dans la liste sensible ci-dessus ?</w:t>
      </w:r>
    </w:p>
    <w:p>
      <w:pPr>
        <w:pStyle w:val="TextBody"/>
        <w:numPr>
          <w:ilvl w:val="1"/>
          <w:numId w:val="8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Si OUI → </w:t>
      </w:r>
      <w:r>
        <w:rPr>
          <w:rStyle w:val="StrongEmphasis"/>
        </w:rPr>
        <w:t>Données Personnelles Sensibles (N4)</w:t>
      </w:r>
      <w:r>
        <w:rPr/>
        <w:t xml:space="preserve"> </w:t>
      </w:r>
    </w:p>
    <w:p>
      <w:pPr>
        <w:pStyle w:val="TextBody"/>
        <w:numPr>
          <w:ilvl w:val="1"/>
          <w:numId w:val="8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Si NON → </w:t>
      </w:r>
      <w:r>
        <w:rPr>
          <w:rStyle w:val="StrongEmphasis"/>
        </w:rPr>
        <w:t>Données Personnelles Standard (N3)</w:t>
      </w:r>
    </w:p>
    <w:p>
      <w:pPr>
        <w:pStyle w:val="TextBody"/>
        <w:rPr/>
      </w:pPr>
      <w:r>
        <w:rPr>
          <w:rStyle w:val="StrongEmphasis"/>
          <w:b/>
          <w:bCs/>
          <w:color w:val="F07817"/>
        </w:rPr>
        <w:t>En cas de doute :</w:t>
      </w:r>
      <w:r>
        <w:rPr>
          <w:b/>
          <w:bCs/>
          <w:color w:val="F07817"/>
        </w:rPr>
        <w:t xml:space="preserve"> Appliquer le niveau supérieur (principe de précaution).</w:t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29" w:name="__RefHeading___Toc65670_2150708505"/>
      <w:bookmarkEnd w:id="29"/>
      <w:r>
        <w:rPr/>
        <w:t>DONNÉES PUBLIQUES [REF-APDP-PUBLIC]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0" w:name="__RefHeading___Toc65672_2150708505"/>
      <w:bookmarkEnd w:id="30"/>
      <w:r>
        <w:rPr/>
        <w:t>Définition et exemples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Caractéristiques :</w:t>
      </w:r>
    </w:p>
    <w:p>
      <w:pPr>
        <w:pStyle w:val="TextBody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Diffusables sans restriction</w:t>
      </w:r>
    </w:p>
    <w:p>
      <w:pPr>
        <w:pStyle w:val="TextBody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risque pour les personnes</w:t>
      </w:r>
    </w:p>
    <w:p>
      <w:pPr>
        <w:pStyle w:val="TextBody"/>
        <w:numPr>
          <w:ilvl w:val="0"/>
          <w:numId w:val="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caractère confidentiel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Exemples :</w:t>
      </w:r>
    </w:p>
    <w:p>
      <w:pPr>
        <w:pStyle w:val="TextBody"/>
        <w:numPr>
          <w:ilvl w:val="0"/>
          <w:numId w:val="1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Site web public de l'entreprise</w:t>
      </w:r>
    </w:p>
    <w:p>
      <w:pPr>
        <w:pStyle w:val="TextBody"/>
        <w:numPr>
          <w:ilvl w:val="0"/>
          <w:numId w:val="1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Communiqués de presse</w:t>
      </w:r>
    </w:p>
    <w:p>
      <w:pPr>
        <w:pStyle w:val="TextBody"/>
        <w:numPr>
          <w:ilvl w:val="0"/>
          <w:numId w:val="1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Catalogues produits publics</w:t>
      </w:r>
    </w:p>
    <w:p>
      <w:pPr>
        <w:pStyle w:val="TextBody"/>
        <w:numPr>
          <w:ilvl w:val="0"/>
          <w:numId w:val="1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technique open source</w:t>
      </w:r>
    </w:p>
    <w:p>
      <w:pPr>
        <w:pStyle w:val="TextBody"/>
        <w:numPr>
          <w:ilvl w:val="0"/>
          <w:numId w:val="1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Tarifs publics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1" w:name="__RefHeading___Toc65674_2150708505"/>
      <w:bookmarkEnd w:id="31"/>
      <w:r>
        <w:rPr/>
        <w:t>Mesures techniques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Serveur :</w:t>
      </w:r>
    </w:p>
    <w:p>
      <w:pPr>
        <w:pStyle w:val="TextBody"/>
        <w:numPr>
          <w:ilvl w:val="0"/>
          <w:numId w:val="1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Type : Tous (VPS, Cloud, Dedicated)</w:t>
      </w:r>
    </w:p>
    <w:p>
      <w:pPr>
        <w:pStyle w:val="TextBody"/>
        <w:numPr>
          <w:ilvl w:val="0"/>
          <w:numId w:val="1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: Baseline DOC-REF-01 standard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Chiffrement :</w:t>
      </w:r>
    </w:p>
    <w:p>
      <w:pPr>
        <w:pStyle w:val="TextBody"/>
        <w:numPr>
          <w:ilvl w:val="0"/>
          <w:numId w:val="1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Transit (HTTPS) : Recommandé (mais pas obligatoire)</w:t>
      </w:r>
    </w:p>
    <w:p>
      <w:pPr>
        <w:pStyle w:val="TextBody"/>
        <w:numPr>
          <w:ilvl w:val="0"/>
          <w:numId w:val="1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Repos : Non requis</w:t>
      </w:r>
    </w:p>
    <w:p>
      <w:pPr>
        <w:pStyle w:val="TextBody"/>
        <w:numPr>
          <w:ilvl w:val="0"/>
          <w:numId w:val="1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Backup : Non requis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Accès :</w:t>
      </w:r>
    </w:p>
    <w:p>
      <w:pPr>
        <w:pStyle w:val="TextBody"/>
        <w:numPr>
          <w:ilvl w:val="0"/>
          <w:numId w:val="1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Limitation : Non critique (10+ personnes acceptable)</w:t>
      </w:r>
    </w:p>
    <w:p>
      <w:pPr>
        <w:pStyle w:val="TextBody"/>
        <w:numPr>
          <w:ilvl w:val="0"/>
          <w:numId w:val="1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Formation APDP : Non requise</w:t>
      </w:r>
    </w:p>
    <w:p>
      <w:pPr>
        <w:pStyle w:val="TextBody"/>
        <w:numPr>
          <w:ilvl w:val="0"/>
          <w:numId w:val="1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Revue : Annuelle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Logs :</w:t>
      </w:r>
    </w:p>
    <w:p>
      <w:pPr>
        <w:pStyle w:val="TextBody"/>
        <w:numPr>
          <w:ilvl w:val="0"/>
          <w:numId w:val="1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Rétention : 30 jours minimum</w:t>
      </w:r>
    </w:p>
    <w:p>
      <w:pPr>
        <w:pStyle w:val="TextBody"/>
        <w:numPr>
          <w:ilvl w:val="0"/>
          <w:numId w:val="1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Logs accès détaillés : Non requis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Backup :</w:t>
      </w:r>
    </w:p>
    <w:p>
      <w:pPr>
        <w:pStyle w:val="TextBody"/>
        <w:numPr>
          <w:ilvl w:val="0"/>
          <w:numId w:val="1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Fréquence : Mensuelle acceptable</w:t>
      </w:r>
    </w:p>
    <w:p>
      <w:pPr>
        <w:pStyle w:val="TextBody"/>
        <w:numPr>
          <w:ilvl w:val="0"/>
          <w:numId w:val="1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Test restauration : Annuel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Destruction :</w:t>
      </w:r>
    </w:p>
    <w:p>
      <w:pPr>
        <w:pStyle w:val="TextBody"/>
        <w:numPr>
          <w:ilvl w:val="0"/>
          <w:numId w:val="1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Méthode : Suppression standard (rm)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AIPD :</w:t>
      </w:r>
      <w:r>
        <w:rPr/>
        <w:t xml:space="preserve"> Non requise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Conformité APDP :</w:t>
      </w:r>
      <w:r>
        <w:rPr/>
        <w:t xml:space="preserve"> Non applicable (pas de données personnelles)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2" w:name="__RefHeading___Toc65676_2150708505"/>
      <w:bookmarkEnd w:id="32"/>
      <w:r>
        <w:rPr/>
        <w:t>DONNÉES INTERNES [REF-APDP-INTERNE]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3" w:name="__RefHeading___Toc65678_2150708505"/>
      <w:bookmarkEnd w:id="33"/>
      <w:r>
        <w:rPr/>
        <w:t>Définition et exemples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Caractéristiques :</w:t>
      </w:r>
    </w:p>
    <w:p>
      <w:pPr>
        <w:pStyle w:val="TextBody"/>
        <w:numPr>
          <w:ilvl w:val="0"/>
          <w:numId w:val="1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Usage interne uniquement</w:t>
      </w:r>
    </w:p>
    <w:p>
      <w:pPr>
        <w:pStyle w:val="TextBody"/>
        <w:numPr>
          <w:ilvl w:val="0"/>
          <w:numId w:val="1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données personnelles</w:t>
      </w:r>
    </w:p>
    <w:p>
      <w:pPr>
        <w:pStyle w:val="TextBody"/>
        <w:numPr>
          <w:ilvl w:val="0"/>
          <w:numId w:val="1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Confidentialité entreprise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Exemples :</w:t>
      </w:r>
    </w:p>
    <w:p>
      <w:pPr>
        <w:pStyle w:val="TextBody"/>
        <w:numPr>
          <w:ilvl w:val="0"/>
          <w:numId w:val="1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Procédures internes (sans noms de personnes)</w:t>
      </w:r>
    </w:p>
    <w:p>
      <w:pPr>
        <w:pStyle w:val="TextBody"/>
        <w:numPr>
          <w:ilvl w:val="0"/>
          <w:numId w:val="1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Organigramme fonctionnel (sans noms)</w:t>
      </w:r>
    </w:p>
    <w:p>
      <w:pPr>
        <w:pStyle w:val="TextBody"/>
        <w:numPr>
          <w:ilvl w:val="0"/>
          <w:numId w:val="1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technique interne</w:t>
      </w:r>
    </w:p>
    <w:p>
      <w:pPr>
        <w:pStyle w:val="TextBody"/>
        <w:numPr>
          <w:ilvl w:val="0"/>
          <w:numId w:val="1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Bases de connaissances internes</w:t>
      </w:r>
    </w:p>
    <w:p>
      <w:pPr>
        <w:pStyle w:val="TextBody"/>
        <w:numPr>
          <w:ilvl w:val="0"/>
          <w:numId w:val="1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Statistiques anonymisées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4" w:name="__RefHeading___Toc65680_2150708505"/>
      <w:bookmarkEnd w:id="34"/>
      <w:r>
        <w:rPr/>
        <w:t>Mesures techniques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Serveur :</w:t>
      </w:r>
    </w:p>
    <w:p>
      <w:pPr>
        <w:pStyle w:val="TextBody"/>
        <w:numPr>
          <w:ilvl w:val="0"/>
          <w:numId w:val="1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Type : VPS ou Dedicated</w:t>
      </w:r>
    </w:p>
    <w:p>
      <w:pPr>
        <w:pStyle w:val="TextBody"/>
        <w:numPr>
          <w:ilvl w:val="0"/>
          <w:numId w:val="1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: Baseline DOC-REF-01 standard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Chiffrement :</w:t>
      </w:r>
    </w:p>
    <w:p>
      <w:pPr>
        <w:pStyle w:val="TextBody"/>
        <w:numPr>
          <w:ilvl w:val="0"/>
          <w:numId w:val="2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Transit (HTTPS) : Recommandé</w:t>
      </w:r>
    </w:p>
    <w:p>
      <w:pPr>
        <w:pStyle w:val="TextBody"/>
        <w:numPr>
          <w:ilvl w:val="0"/>
          <w:numId w:val="2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Repos : Non requis</w:t>
      </w:r>
    </w:p>
    <w:p>
      <w:pPr>
        <w:pStyle w:val="TextBody"/>
        <w:numPr>
          <w:ilvl w:val="0"/>
          <w:numId w:val="2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Backup : Non requis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Accès :</w:t>
      </w:r>
    </w:p>
    <w:p>
      <w:pPr>
        <w:pStyle w:val="TextBody"/>
        <w:numPr>
          <w:ilvl w:val="0"/>
          <w:numId w:val="2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Limitation : Raisonnable (≤ 10 personnes)</w:t>
      </w:r>
    </w:p>
    <w:p>
      <w:pPr>
        <w:pStyle w:val="TextBody"/>
        <w:numPr>
          <w:ilvl w:val="0"/>
          <w:numId w:val="2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Formation APDP : Non requise</w:t>
      </w:r>
    </w:p>
    <w:p>
      <w:pPr>
        <w:pStyle w:val="TextBody"/>
        <w:numPr>
          <w:ilvl w:val="0"/>
          <w:numId w:val="2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Revue : Semestrielle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Logs :</w:t>
      </w:r>
    </w:p>
    <w:p>
      <w:pPr>
        <w:pStyle w:val="TextBody"/>
        <w:numPr>
          <w:ilvl w:val="0"/>
          <w:numId w:val="2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Rétention : 90 jours (conformité générale)</w:t>
      </w:r>
    </w:p>
    <w:p>
      <w:pPr>
        <w:pStyle w:val="TextBody"/>
        <w:numPr>
          <w:ilvl w:val="0"/>
          <w:numId w:val="2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Logs accès détaillés : Non requis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Backup :</w:t>
      </w:r>
    </w:p>
    <w:p>
      <w:pPr>
        <w:pStyle w:val="TextBody"/>
        <w:numPr>
          <w:ilvl w:val="0"/>
          <w:numId w:val="2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Fréquence : Hebdomadaire</w:t>
      </w:r>
    </w:p>
    <w:p>
      <w:pPr>
        <w:pStyle w:val="TextBody"/>
        <w:numPr>
          <w:ilvl w:val="0"/>
          <w:numId w:val="2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Test restauration : Trimestriel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Destruction :</w:t>
      </w:r>
    </w:p>
    <w:p>
      <w:pPr>
        <w:pStyle w:val="TextBody"/>
        <w:numPr>
          <w:ilvl w:val="0"/>
          <w:numId w:val="2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Méthode : shred 1 passe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AIPD :</w:t>
      </w:r>
      <w:r>
        <w:rPr/>
        <w:t xml:space="preserve"> Non requise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Conformité APDP :</w:t>
      </w:r>
      <w:r>
        <w:rPr/>
        <w:t xml:space="preserve"> Non applicable (pas de données personnelles)</w:t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5" w:name="__RefHeading___Toc65682_2150708505"/>
      <w:bookmarkEnd w:id="35"/>
      <w:r>
        <w:rPr/>
        <w:t>DONNÉES PERSONNELLES STANDARD [REF-APDP-STANDARD]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6" w:name="__RefHeading___Toc65684_2150708505"/>
      <w:bookmarkEnd w:id="36"/>
      <w:r>
        <w:rPr/>
        <w:t>Définition et exemples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Caractéristiques :</w:t>
      </w:r>
    </w:p>
    <w:p>
      <w:pPr>
        <w:pStyle w:val="TextBody"/>
        <w:numPr>
          <w:ilvl w:val="0"/>
          <w:numId w:val="2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Données personnelles classiques</w:t>
      </w:r>
    </w:p>
    <w:p>
      <w:pPr>
        <w:pStyle w:val="TextBody"/>
        <w:numPr>
          <w:ilvl w:val="0"/>
          <w:numId w:val="2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Permettent identification personne</w:t>
      </w:r>
    </w:p>
    <w:p>
      <w:pPr>
        <w:pStyle w:val="TextBody"/>
        <w:numPr>
          <w:ilvl w:val="0"/>
          <w:numId w:val="2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dans catégories sensibles</w:t>
      </w:r>
    </w:p>
    <w:p>
      <w:pPr>
        <w:pStyle w:val="TextBody"/>
        <w:rPr/>
      </w:pPr>
      <w:r>
        <w:rPr>
          <w:rStyle w:val="StrongEmphasis"/>
          <w:rFonts w:eastAsia="Calibri" w:cs="DejaVu Sans"/>
          <w:color w:val="014276"/>
          <w:kern w:val="0"/>
          <w:sz w:val="24"/>
          <w:szCs w:val="32"/>
          <w:lang w:val="fr-FR" w:eastAsia="en-US" w:bidi="ar-SA"/>
        </w:rPr>
        <w:t>Exemples :</w:t>
      </w:r>
    </w:p>
    <w:p>
      <w:pPr>
        <w:pStyle w:val="TextBody"/>
        <w:numPr>
          <w:ilvl w:val="0"/>
          <w:numId w:val="2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Base clients CRM (nom, email, téléphone, adresse)</w:t>
      </w:r>
    </w:p>
    <w:p>
      <w:pPr>
        <w:pStyle w:val="TextBody"/>
        <w:numPr>
          <w:ilvl w:val="0"/>
          <w:numId w:val="2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Base RH (nom, poste, date d'embauche, salaire)</w:t>
      </w:r>
    </w:p>
    <w:p>
      <w:pPr>
        <w:pStyle w:val="TextBody"/>
        <w:numPr>
          <w:ilvl w:val="0"/>
          <w:numId w:val="2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Base prospects (coordonnées commerciales)</w:t>
      </w:r>
    </w:p>
    <w:p>
      <w:pPr>
        <w:pStyle w:val="TextBody"/>
        <w:numPr>
          <w:ilvl w:val="0"/>
          <w:numId w:val="2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Logs avec adresses IP</w:t>
      </w:r>
    </w:p>
    <w:p>
      <w:pPr>
        <w:pStyle w:val="TextBody"/>
        <w:numPr>
          <w:ilvl w:val="0"/>
          <w:numId w:val="2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Facturation (nom client, montants)</w:t>
      </w:r>
    </w:p>
    <w:p>
      <w:pPr>
        <w:pStyle w:val="TextBody"/>
        <w:numPr>
          <w:ilvl w:val="0"/>
          <w:numId w:val="2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Gestion utilisateurs application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7" w:name="__RefHeading___Toc65686_2150708505"/>
      <w:bookmarkEnd w:id="37"/>
      <w:r>
        <w:rPr/>
        <w:t>Mesures techniques OBLIGATOIRES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38" w:name="__RefHeading___Toc65688_2150708505"/>
      <w:bookmarkEnd w:id="38"/>
      <w:r>
        <w:rPr>
          <w:rStyle w:val="StrongEmphasis"/>
          <w:b/>
        </w:rPr>
        <w:t>Infrastructure serveur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Type serveur :</w:t>
      </w:r>
    </w:p>
    <w:p>
      <w:pPr>
        <w:pStyle w:val="TextBody"/>
        <w:numPr>
          <w:ilvl w:val="0"/>
          <w:numId w:val="2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Recommandé :</w:t>
      </w:r>
      <w:r>
        <w:rPr/>
        <w:t xml:space="preserve"> Serveur Dedicated OVH</w:t>
      </w:r>
    </w:p>
    <w:p>
      <w:pPr>
        <w:pStyle w:val="TextBody"/>
        <w:numPr>
          <w:ilvl w:val="0"/>
          <w:numId w:val="2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Acceptable :</w:t>
      </w:r>
      <w:r>
        <w:rPr/>
        <w:t xml:space="preserve"> VPS si volume &lt; 1000 personnes et données non critiques</w:t>
      </w:r>
    </w:p>
    <w:p>
      <w:pPr>
        <w:pStyle w:val="TextBody"/>
        <w:numPr>
          <w:ilvl w:val="0"/>
          <w:numId w:val="2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Interdit :</w:t>
      </w:r>
      <w:r>
        <w:rPr/>
        <w:t xml:space="preserve"> Serveurs mutualisés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Configuration :</w:t>
      </w:r>
    </w:p>
    <w:p>
      <w:pPr>
        <w:pStyle w:val="TextBody"/>
        <w:numPr>
          <w:ilvl w:val="0"/>
          <w:numId w:val="2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Baseline DOC-REF-01 appliquée à 100%</w:t>
      </w:r>
    </w:p>
    <w:p>
      <w:pPr>
        <w:pStyle w:val="TextBody"/>
        <w:numPr>
          <w:ilvl w:val="0"/>
          <w:numId w:val="2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Durcissement kernel activé</w:t>
      </w:r>
    </w:p>
    <w:p>
      <w:pPr>
        <w:pStyle w:val="TextBody"/>
        <w:numPr>
          <w:ilvl w:val="0"/>
          <w:numId w:val="2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Services inutiles désactivés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Localisation :</w:t>
      </w:r>
    </w:p>
    <w:p>
      <w:pPr>
        <w:pStyle w:val="TextBody"/>
        <w:numPr>
          <w:ilvl w:val="0"/>
          <w:numId w:val="2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Obligatoire :</w:t>
      </w:r>
      <w:r>
        <w:rPr/>
        <w:t xml:space="preserve"> Datacenters UE (France : GRA, SBG)</w:t>
      </w:r>
    </w:p>
    <w:p>
      <w:pPr>
        <w:pStyle w:val="TextBody"/>
        <w:numPr>
          <w:ilvl w:val="0"/>
          <w:numId w:val="2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Interdit :</w:t>
      </w:r>
      <w:r>
        <w:rPr/>
        <w:t xml:space="preserve"> Datacenters hors UE sans garanties adéquates</w:t>
      </w:r>
    </w:p>
    <w:p>
      <w:pPr>
        <w:pStyle w:val="Heading3"/>
        <w:ind w:left="0" w:hanging="0"/>
        <w:rPr/>
      </w:pPr>
      <w:bookmarkStart w:id="39" w:name="__RefHeading___Toc65690_2150708505"/>
      <w:bookmarkEnd w:id="39"/>
      <w:r>
        <w:rPr>
          <w:rStyle w:val="StrongEmphasis"/>
          <w:b/>
        </w:rPr>
        <w:t>Chiffrement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Chiffrement en transit :</w:t>
      </w:r>
    </w:p>
    <w:p>
      <w:pPr>
        <w:pStyle w:val="TextBody"/>
        <w:numPr>
          <w:ilvl w:val="0"/>
          <w:numId w:val="3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HTTPS obligatoire</w:t>
      </w:r>
      <w:r>
        <w:rPr/>
        <w:t xml:space="preserve"> (SSL/TLS)</w:t>
      </w:r>
    </w:p>
    <w:p>
      <w:pPr>
        <w:pStyle w:val="TextBody"/>
        <w:numPr>
          <w:ilvl w:val="0"/>
          <w:numId w:val="3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Certificat valide (Let's Encrypt ou commercial)</w:t>
      </w:r>
    </w:p>
    <w:p>
      <w:pPr>
        <w:pStyle w:val="TextBody"/>
        <w:numPr>
          <w:ilvl w:val="0"/>
          <w:numId w:val="3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Protocoles sécurisés uniquement (TLS 1.2+)</w:t>
      </w:r>
    </w:p>
    <w:p>
      <w:pPr>
        <w:pStyle w:val="TextBody"/>
        <w:numPr>
          <w:ilvl w:val="0"/>
          <w:numId w:val="3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: DOC-REF-01 [REF-CHIFFREMENT-TRANSIT]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Chiffrement au repos :</w:t>
      </w:r>
    </w:p>
    <w:p>
      <w:pPr>
        <w:pStyle w:val="TextBody"/>
        <w:numPr>
          <w:ilvl w:val="0"/>
          <w:numId w:val="3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Recommandé</w:t>
      </w:r>
      <w:r>
        <w:rPr/>
        <w:t xml:space="preserve"> (fortement) : LUKS sur partition données</w:t>
      </w:r>
    </w:p>
    <w:p>
      <w:pPr>
        <w:pStyle w:val="TextBody"/>
        <w:numPr>
          <w:ilvl w:val="0"/>
          <w:numId w:val="3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Obligatoire SI :</w:t>
      </w:r>
      <w:r>
        <w:rPr/>
        <w:t xml:space="preserve"> Serveur portable/amovible ou risque vol physique</w:t>
      </w:r>
    </w:p>
    <w:p>
      <w:pPr>
        <w:pStyle w:val="TextBody"/>
        <w:numPr>
          <w:ilvl w:val="0"/>
          <w:numId w:val="3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: DOC-REF-01 [REF-CHIFFREMENT-REPOS]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Chiffrement backups :</w:t>
      </w:r>
    </w:p>
    <w:p>
      <w:pPr>
        <w:pStyle w:val="TextBody"/>
        <w:numPr>
          <w:ilvl w:val="0"/>
          <w:numId w:val="3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OBLIGATOIRE</w:t>
      </w:r>
      <w:r>
        <w:rPr/>
        <w:t xml:space="preserve"> : AES-256 minimum</w:t>
      </w:r>
    </w:p>
    <w:p>
      <w:pPr>
        <w:pStyle w:val="TextBody"/>
        <w:numPr>
          <w:ilvl w:val="0"/>
          <w:numId w:val="3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Clé de chiffrement stockée séparément (Passbolt)</w:t>
      </w:r>
    </w:p>
    <w:p>
      <w:pPr>
        <w:pStyle w:val="TextBody"/>
        <w:numPr>
          <w:ilvl w:val="0"/>
          <w:numId w:val="3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: DOC-REF-01 [REF-CHIFFREMENT-BACKUP]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0" w:name="__RefHeading___Toc65692_2150708505"/>
      <w:bookmarkEnd w:id="40"/>
      <w:r>
        <w:rPr>
          <w:rStyle w:val="StrongEmphasis"/>
          <w:b/>
        </w:rPr>
        <w:t>Contrôle d'accès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Limitation accès :</w:t>
      </w:r>
    </w:p>
    <w:p>
      <w:pPr>
        <w:pStyle w:val="TextBody"/>
        <w:numPr>
          <w:ilvl w:val="0"/>
          <w:numId w:val="3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Maximum 5 personnes</w:t>
      </w:r>
      <w:r>
        <w:rPr/>
        <w:t xml:space="preserve"> avec accès aux données personnelles</w:t>
      </w:r>
    </w:p>
    <w:p>
      <w:pPr>
        <w:pStyle w:val="TextBody"/>
        <w:numPr>
          <w:ilvl w:val="0"/>
          <w:numId w:val="3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Comptes nominatifs obligatoires (DOC-REF-01 [REF-COMPTES])</w:t>
      </w:r>
    </w:p>
    <w:p>
      <w:pPr>
        <w:pStyle w:val="TextBody"/>
        <w:numPr>
          <w:ilvl w:val="0"/>
          <w:numId w:val="3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Authentification SSH par clés uniquement</w:t>
      </w:r>
    </w:p>
    <w:p>
      <w:pPr>
        <w:pStyle w:val="TextBody"/>
        <w:numPr>
          <w:ilvl w:val="0"/>
          <w:numId w:val="3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compte générique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Niveaux privilèges :</w:t>
      </w:r>
    </w:p>
    <w:p>
      <w:pPr>
        <w:pStyle w:val="TextBody"/>
        <w:numPr>
          <w:ilvl w:val="0"/>
          <w:numId w:val="3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Principe du moindre privilège strictement appliqué</w:t>
      </w:r>
    </w:p>
    <w:p>
      <w:pPr>
        <w:pStyle w:val="TextBody"/>
        <w:numPr>
          <w:ilvl w:val="0"/>
          <w:numId w:val="3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Revue des accès : </w:t>
      </w:r>
      <w:r>
        <w:rPr>
          <w:rStyle w:val="StrongEmphasis"/>
        </w:rPr>
        <w:t>Trimestrielle obligatoire</w:t>
      </w:r>
    </w:p>
    <w:p>
      <w:pPr>
        <w:pStyle w:val="TextBody"/>
        <w:numPr>
          <w:ilvl w:val="0"/>
          <w:numId w:val="3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: DOC-OPS-02 (Matrice des Accès)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Formation obligatoire :</w:t>
      </w:r>
    </w:p>
    <w:p>
      <w:pPr>
        <w:pStyle w:val="TextBody"/>
        <w:numPr>
          <w:ilvl w:val="0"/>
          <w:numId w:val="3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Formation APDP obligatoire</w:t>
      </w:r>
      <w:r>
        <w:rPr/>
        <w:t xml:space="preserve"> pour TOUTES les personnes avec accès</w:t>
      </w:r>
    </w:p>
    <w:p>
      <w:pPr>
        <w:pStyle w:val="TextBody"/>
        <w:numPr>
          <w:ilvl w:val="0"/>
          <w:numId w:val="3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Contenu : Obligations légales, confidentialité, bonnes pratiques</w:t>
      </w:r>
    </w:p>
    <w:p>
      <w:pPr>
        <w:pStyle w:val="TextBody"/>
        <w:numPr>
          <w:ilvl w:val="0"/>
          <w:numId w:val="3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Fréquence : Initiale + recyclage annuel</w:t>
      </w:r>
    </w:p>
    <w:p>
      <w:pPr>
        <w:pStyle w:val="TextBody"/>
        <w:numPr>
          <w:ilvl w:val="0"/>
          <w:numId w:val="3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Traçabilité : Attestations de formation conservées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1" w:name="__RefHeading___Toc65694_2150708505"/>
      <w:bookmarkEnd w:id="41"/>
      <w:r>
        <w:rPr>
          <w:rStyle w:val="StrongEmphasis"/>
          <w:b/>
        </w:rPr>
        <w:t>Logs et traçabilité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Logs accès obligatoires :</w:t>
      </w:r>
    </w:p>
    <w:p>
      <w:pPr>
        <w:pStyle w:val="TextBody"/>
        <w:numPr>
          <w:ilvl w:val="0"/>
          <w:numId w:val="3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Qui</w:t>
      </w:r>
      <w:r>
        <w:rPr/>
        <w:t xml:space="preserve"> accède aux données (identification personne)</w:t>
      </w:r>
    </w:p>
    <w:p>
      <w:pPr>
        <w:pStyle w:val="TextBody"/>
        <w:numPr>
          <w:ilvl w:val="0"/>
          <w:numId w:val="3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Quand</w:t>
      </w:r>
      <w:r>
        <w:rPr/>
        <w:t xml:space="preserve"> (horodatage précis)</w:t>
      </w:r>
    </w:p>
    <w:p>
      <w:pPr>
        <w:pStyle w:val="TextBody"/>
        <w:numPr>
          <w:ilvl w:val="0"/>
          <w:numId w:val="3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Quoi</w:t>
      </w:r>
      <w:r>
        <w:rPr/>
        <w:t xml:space="preserve"> (quelles données consultées/modifiées si possible)</w:t>
      </w:r>
    </w:p>
    <w:p>
      <w:pPr>
        <w:pStyle w:val="TextBody"/>
        <w:numPr>
          <w:ilvl w:val="0"/>
          <w:numId w:val="3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Depuis où</w:t>
      </w:r>
      <w:r>
        <w:rPr/>
        <w:t xml:space="preserve"> (adresse IP source)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Rétention logs :</w:t>
      </w:r>
    </w:p>
    <w:p>
      <w:pPr>
        <w:pStyle w:val="TextBody"/>
        <w:numPr>
          <w:ilvl w:val="0"/>
          <w:numId w:val="3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Minimum 90 jours</w:t>
      </w:r>
      <w:r>
        <w:rPr/>
        <w:t xml:space="preserve"> (obligation légale APDP)</w:t>
      </w:r>
    </w:p>
    <w:p>
      <w:pPr>
        <w:pStyle w:val="TextBody"/>
        <w:numPr>
          <w:ilvl w:val="0"/>
          <w:numId w:val="3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Recommandé : 180 jours</w:t>
      </w:r>
      <w:r>
        <w:rPr/>
        <w:t xml:space="preserve"> (6 mois) pour auth.log</w:t>
      </w:r>
    </w:p>
    <w:p>
      <w:pPr>
        <w:pStyle w:val="TextBody"/>
        <w:numPr>
          <w:ilvl w:val="0"/>
          <w:numId w:val="3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: DOC-REF-01 [REF-LOGS-RETENTION]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Protection logs :</w:t>
      </w:r>
    </w:p>
    <w:p>
      <w:pPr>
        <w:pStyle w:val="TextBody"/>
        <w:numPr>
          <w:ilvl w:val="0"/>
          <w:numId w:val="3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Permissions restrictives (640 : root:adm)</w:t>
      </w:r>
    </w:p>
    <w:p>
      <w:pPr>
        <w:pStyle w:val="TextBody"/>
        <w:numPr>
          <w:ilvl w:val="0"/>
          <w:numId w:val="3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Logs considérés comme données personnelles (contiennent IPs, noms)</w:t>
      </w:r>
    </w:p>
    <w:p>
      <w:pPr>
        <w:pStyle w:val="TextBody"/>
        <w:numPr>
          <w:ilvl w:val="0"/>
          <w:numId w:val="3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Accès limité aux administrateurs autorisés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2" w:name="__RefHeading___Toc65696_2150708505"/>
      <w:bookmarkEnd w:id="42"/>
      <w:r>
        <w:rPr>
          <w:rStyle w:val="StrongEmphasis"/>
          <w:b/>
        </w:rPr>
        <w:t>Sauvegarde et restauration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Fréquence backup :</w:t>
      </w:r>
    </w:p>
    <w:p>
      <w:pPr>
        <w:pStyle w:val="TextBody"/>
        <w:numPr>
          <w:ilvl w:val="0"/>
          <w:numId w:val="3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Quotidien obligatoire</w:t>
      </w:r>
    </w:p>
    <w:p>
      <w:pPr>
        <w:pStyle w:val="TextBody"/>
        <w:numPr>
          <w:ilvl w:val="0"/>
          <w:numId w:val="3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Heure recommandée : 03:00 (heure creuse)</w:t>
      </w:r>
    </w:p>
    <w:p>
      <w:pPr>
        <w:pStyle w:val="TextBody"/>
        <w:numPr>
          <w:ilvl w:val="0"/>
          <w:numId w:val="3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Type : Snapshot OVH + backup applicatif externe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Protection backups :</w:t>
      </w:r>
    </w:p>
    <w:p>
      <w:pPr>
        <w:pStyle w:val="TextBody"/>
        <w:numPr>
          <w:ilvl w:val="0"/>
          <w:numId w:val="4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Chiffrement obligatoire</w:t>
      </w:r>
      <w:r>
        <w:rPr/>
        <w:t xml:space="preserve"> (AES-256)</w:t>
      </w:r>
    </w:p>
    <w:p>
      <w:pPr>
        <w:pStyle w:val="TextBody"/>
        <w:numPr>
          <w:ilvl w:val="0"/>
          <w:numId w:val="4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Clé stockée séparément (pas sur le serveur)</w:t>
      </w:r>
    </w:p>
    <w:p>
      <w:pPr>
        <w:pStyle w:val="TextBody"/>
        <w:numPr>
          <w:ilvl w:val="0"/>
          <w:numId w:val="4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Accès limité (même règles que production)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Rétention :</w:t>
      </w:r>
    </w:p>
    <w:p>
      <w:pPr>
        <w:pStyle w:val="TextBody"/>
        <w:numPr>
          <w:ilvl w:val="0"/>
          <w:numId w:val="4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Cohérente avec durée conservation des données</w:t>
      </w:r>
    </w:p>
    <w:p>
      <w:pPr>
        <w:pStyle w:val="TextBody"/>
        <w:numPr>
          <w:ilvl w:val="0"/>
          <w:numId w:val="4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Exemple : Si données conservées 2 ans → backups max 2 ans</w:t>
      </w:r>
    </w:p>
    <w:p>
      <w:pPr>
        <w:pStyle w:val="TextBody"/>
        <w:numPr>
          <w:ilvl w:val="0"/>
          <w:numId w:val="4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Destruction sécurisée après expiration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Tests restauration :</w:t>
      </w:r>
    </w:p>
    <w:p>
      <w:pPr>
        <w:pStyle w:val="TextBody"/>
        <w:numPr>
          <w:ilvl w:val="0"/>
          <w:numId w:val="4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Trimestriel obligatoire</w:t>
      </w:r>
      <w:r>
        <w:rPr/>
        <w:t xml:space="preserve"> (tous les 3 mois)</w:t>
      </w:r>
    </w:p>
    <w:p>
      <w:pPr>
        <w:pStyle w:val="TextBody"/>
        <w:numPr>
          <w:ilvl w:val="0"/>
          <w:numId w:val="4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résultats (RTO, RPO mesurés)</w:t>
      </w:r>
    </w:p>
    <w:p>
      <w:pPr>
        <w:pStyle w:val="TextBody"/>
        <w:numPr>
          <w:ilvl w:val="0"/>
          <w:numId w:val="4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Référence : DOC-REF-02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3" w:name="__RefHeading___Toc65698_2150708505"/>
      <w:bookmarkEnd w:id="43"/>
      <w:r>
        <w:rPr>
          <w:rStyle w:val="StrongEmphasis"/>
          <w:b/>
        </w:rPr>
        <w:t>Destruction sécurisée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Fin de conservation :</w:t>
      </w:r>
    </w:p>
    <w:p>
      <w:pPr>
        <w:pStyle w:val="TextBody"/>
        <w:numPr>
          <w:ilvl w:val="0"/>
          <w:numId w:val="4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Destruction dès que données plus nécessaires (obligation légale)</w:t>
      </w:r>
    </w:p>
    <w:p>
      <w:pPr>
        <w:pStyle w:val="TextBody"/>
        <w:numPr>
          <w:ilvl w:val="0"/>
          <w:numId w:val="4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conservation "au cas où"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Méthode destruction :</w:t>
      </w:r>
    </w:p>
    <w:p>
      <w:pPr>
        <w:pStyle w:val="TextBody"/>
        <w:numPr>
          <w:ilvl w:val="0"/>
          <w:numId w:val="4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shred 3 passes minimum</w:t>
      </w:r>
    </w:p>
    <w:p>
      <w:pPr>
        <w:pStyle w:val="TextBody"/>
        <w:numPr>
          <w:ilvl w:val="0"/>
          <w:numId w:val="4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Commande : </w:t>
      </w:r>
      <w:r>
        <w:rPr>
          <w:rStyle w:val="SourceText"/>
        </w:rPr>
        <w:t>shred -vfz -n 3 /dev/sdX</w:t>
      </w:r>
    </w:p>
    <w:p>
      <w:pPr>
        <w:pStyle w:val="TextBody"/>
        <w:numPr>
          <w:ilvl w:val="0"/>
          <w:numId w:val="4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Jamais</w:t>
      </w:r>
      <w:r>
        <w:rPr/>
        <w:t xml:space="preserve"> de simple suppression (rm)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Traçabilité :</w:t>
      </w:r>
    </w:p>
    <w:p>
      <w:pPr>
        <w:pStyle w:val="TextBody"/>
        <w:numPr>
          <w:ilvl w:val="0"/>
          <w:numId w:val="4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Certificat de destruction obligatoire</w:t>
      </w:r>
    </w:p>
    <w:p>
      <w:pPr>
        <w:pStyle w:val="TextBody"/>
        <w:numPr>
          <w:ilvl w:val="0"/>
          <w:numId w:val="4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Contenu : Date, méthode, responsable, données concernées</w:t>
      </w:r>
    </w:p>
    <w:p>
      <w:pPr>
        <w:pStyle w:val="TextBody"/>
        <w:numPr>
          <w:ilvl w:val="0"/>
          <w:numId w:val="4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Conservation : 3 ans minimum (preuve conformité)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Référence :</w:t>
      </w:r>
      <w:r>
        <w:rPr/>
        <w:t xml:space="preserve"> Procédure Décommissionnement §2.5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4" w:name="__RefHeading___Toc65700_2150708505"/>
      <w:bookmarkEnd w:id="44"/>
      <w:r>
        <w:rPr>
          <w:rStyle w:val="StrongEmphasis"/>
          <w:b/>
        </w:rPr>
        <w:t>Mesures organisationnelles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Registre des traitements :</w:t>
      </w:r>
    </w:p>
    <w:p>
      <w:pPr>
        <w:pStyle w:val="TextBody"/>
        <w:numPr>
          <w:ilvl w:val="0"/>
          <w:numId w:val="4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Chaque serveur avec données perso documenté dans registre APDP</w:t>
      </w:r>
    </w:p>
    <w:p>
      <w:pPr>
        <w:pStyle w:val="TextBody"/>
        <w:numPr>
          <w:ilvl w:val="0"/>
          <w:numId w:val="4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Référence : DOC-CONF-01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Base légale :</w:t>
      </w:r>
    </w:p>
    <w:p>
      <w:pPr>
        <w:pStyle w:val="TextBody"/>
        <w:numPr>
          <w:ilvl w:val="0"/>
          <w:numId w:val="4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Identification base légale du traitement (consentement, contrat, intérêt légitime, etc.)</w:t>
      </w:r>
    </w:p>
    <w:p>
      <w:pPr>
        <w:pStyle w:val="TextBody"/>
        <w:numPr>
          <w:ilvl w:val="0"/>
          <w:numId w:val="4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claire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Durée de conservation :</w:t>
      </w:r>
    </w:p>
    <w:p>
      <w:pPr>
        <w:pStyle w:val="TextBody"/>
        <w:numPr>
          <w:ilvl w:val="0"/>
          <w:numId w:val="4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Définie et justifiée</w:t>
      </w:r>
    </w:p>
    <w:p>
      <w:pPr>
        <w:pStyle w:val="TextBody"/>
        <w:numPr>
          <w:ilvl w:val="0"/>
          <w:numId w:val="4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conservation illimitée</w:t>
      </w:r>
    </w:p>
    <w:p>
      <w:pPr>
        <w:pStyle w:val="TextBody"/>
        <w:numPr>
          <w:ilvl w:val="0"/>
          <w:numId w:val="4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Exemple : Clients actifs 3 ans, inactifs 1 an supplémentaire puis suppression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Information personnes :</w:t>
      </w:r>
    </w:p>
    <w:p>
      <w:pPr>
        <w:pStyle w:val="TextBody"/>
        <w:numPr>
          <w:ilvl w:val="0"/>
          <w:numId w:val="4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Les personnes doivent être informées du traitement (transparence)</w:t>
      </w:r>
    </w:p>
    <w:p>
      <w:pPr>
        <w:pStyle w:val="TextBody"/>
        <w:numPr>
          <w:ilvl w:val="0"/>
          <w:numId w:val="4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Mention dans politique de confidentialité / CGU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Droits des personnes :</w:t>
      </w:r>
    </w:p>
    <w:p>
      <w:pPr>
        <w:pStyle w:val="TextBody"/>
        <w:numPr>
          <w:ilvl w:val="0"/>
          <w:numId w:val="5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Possibilité exercice droits (accès, rectification, suppression, opposition)</w:t>
      </w:r>
    </w:p>
    <w:p>
      <w:pPr>
        <w:pStyle w:val="TextBody"/>
        <w:numPr>
          <w:ilvl w:val="0"/>
          <w:numId w:val="5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Procédure de réponse &lt; 1 mois</w:t>
      </w:r>
    </w:p>
    <w:p>
      <w:pPr>
        <w:pStyle w:val="Heading3"/>
        <w:ind w:left="0" w:hanging="0"/>
        <w:rPr/>
      </w:pPr>
      <w:bookmarkStart w:id="45" w:name="__RefHeading___Toc65702_2150708505"/>
      <w:bookmarkEnd w:id="45"/>
      <w:r>
        <w:rPr>
          <w:rStyle w:val="StrongEmphasis"/>
          <w:b/>
        </w:rPr>
        <w:t>AIPD (Analyse d'Impact)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Obligatoire SI :</w:t>
      </w:r>
    </w:p>
    <w:p>
      <w:pPr>
        <w:pStyle w:val="TextBody"/>
        <w:numPr>
          <w:ilvl w:val="0"/>
          <w:numId w:val="5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Volume important (&gt; 5000 personnes)</w:t>
      </w:r>
    </w:p>
    <w:p>
      <w:pPr>
        <w:pStyle w:val="TextBody"/>
        <w:numPr>
          <w:ilvl w:val="0"/>
          <w:numId w:val="5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Traitement systématique et étendu</w:t>
      </w:r>
    </w:p>
    <w:p>
      <w:pPr>
        <w:pStyle w:val="TextBody"/>
        <w:numPr>
          <w:ilvl w:val="0"/>
          <w:numId w:val="5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Croisement de données multiples</w:t>
      </w:r>
    </w:p>
    <w:p>
      <w:pPr>
        <w:pStyle w:val="TextBody"/>
        <w:numPr>
          <w:ilvl w:val="0"/>
          <w:numId w:val="5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Profilage / scoring automatisé</w:t>
      </w:r>
    </w:p>
    <w:p>
      <w:pPr>
        <w:pStyle w:val="TextBody"/>
        <w:numPr>
          <w:ilvl w:val="0"/>
          <w:numId w:val="5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Surveillance systématique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Non obligatoire SI :</w:t>
      </w:r>
    </w:p>
    <w:p>
      <w:pPr>
        <w:pStyle w:val="TextBody"/>
        <w:numPr>
          <w:ilvl w:val="0"/>
          <w:numId w:val="5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CRM simple (&lt; 5000 clients, données de contact uniquement)</w:t>
      </w:r>
    </w:p>
    <w:p>
      <w:pPr>
        <w:pStyle w:val="TextBody"/>
        <w:numPr>
          <w:ilvl w:val="0"/>
          <w:numId w:val="5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Gestion RH basique (&lt; 100 employés)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Référence :</w:t>
      </w:r>
      <w:r>
        <w:rPr/>
        <w:t xml:space="preserve"> DOC-CONF-02 (Template AIPD)</w:t>
      </w:r>
    </w:p>
    <w:p>
      <w:pPr>
        <w:pStyle w:val="Heading3"/>
        <w:ind w:left="0" w:hanging="0"/>
        <w:rPr/>
      </w:pPr>
      <w:bookmarkStart w:id="46" w:name="__RefHeading___Toc65704_2150708505"/>
      <w:bookmarkEnd w:id="46"/>
      <w:r>
        <w:rPr>
          <w:rStyle w:val="StrongEmphasis"/>
          <w:b/>
        </w:rPr>
        <w:t>Notification violations APDP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Obligation :</w:t>
      </w:r>
    </w:p>
    <w:p>
      <w:pPr>
        <w:pStyle w:val="TextBody"/>
        <w:numPr>
          <w:ilvl w:val="0"/>
          <w:numId w:val="5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Notification APDP &lt; 72h</w:t>
      </w:r>
      <w:r>
        <w:rPr/>
        <w:t xml:space="preserve"> si violation confidentialité, intégrité ou disponibilité</w:t>
      </w:r>
    </w:p>
    <w:p>
      <w:pPr>
        <w:pStyle w:val="TextBody"/>
        <w:numPr>
          <w:ilvl w:val="0"/>
          <w:numId w:val="5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Exemples : Piratage, perte backup, accès non autorisé, ransomware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Procédure :</w:t>
      </w:r>
    </w:p>
    <w:p>
      <w:pPr>
        <w:pStyle w:val="TextBody"/>
        <w:numPr>
          <w:ilvl w:val="0"/>
          <w:numId w:val="5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Référence : PROC-03 (Notification APDP)</w:t>
      </w:r>
    </w:p>
    <w:p>
      <w:pPr>
        <w:pStyle w:val="TextBody"/>
        <w:numPr>
          <w:ilvl w:val="0"/>
          <w:numId w:val="5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Formulaire officiel APDP</w:t>
      </w:r>
    </w:p>
    <w:p>
      <w:pPr>
        <w:pStyle w:val="TextBody"/>
        <w:numPr>
          <w:ilvl w:val="0"/>
          <w:numId w:val="5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Email : </w:t>
      </w:r>
      <w:hyperlink r:id="rId4" w:tgtFrame="_blank">
        <w:r>
          <w:rPr>
            <w:rStyle w:val="InternetLink"/>
          </w:rPr>
          <w:t>contact@apdp.bj</w:t>
        </w:r>
      </w:hyperlink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Notification personnes :</w:t>
      </w:r>
    </w:p>
    <w:p>
      <w:pPr>
        <w:pStyle w:val="TextBody"/>
        <w:numPr>
          <w:ilvl w:val="0"/>
          <w:numId w:val="5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Obligatoire</w:t>
      </w:r>
      <w:r>
        <w:rPr/>
        <w:t xml:space="preserve"> si risque élevé pour leurs droits/libertés</w:t>
      </w:r>
    </w:p>
    <w:p>
      <w:pPr>
        <w:pStyle w:val="TextBody"/>
        <w:numPr>
          <w:ilvl w:val="0"/>
          <w:numId w:val="5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Exemple : Données non chiffrées volées → notification obligatoire</w:t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7" w:name="__RefHeading___Toc65706_2150708505"/>
      <w:bookmarkEnd w:id="47"/>
      <w:r>
        <w:rPr/>
        <w:t>DONNÉES PERSONNELLES SENSIBLES [REF-APDP-SENSIBLE]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8" w:name="__RefHeading___Toc65708_2150708505"/>
      <w:bookmarkEnd w:id="48"/>
      <w:r>
        <w:rPr/>
        <w:t>Définition et exemples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Rappel catégories sensibles :</w:t>
      </w:r>
    </w:p>
    <w:p>
      <w:pPr>
        <w:pStyle w:val="TextBody"/>
        <w:numPr>
          <w:ilvl w:val="0"/>
          <w:numId w:val="5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Santé (dossiers médicaux, arrêts maladie, handicap)</w:t>
      </w:r>
    </w:p>
    <w:p>
      <w:pPr>
        <w:pStyle w:val="TextBody"/>
        <w:numPr>
          <w:ilvl w:val="0"/>
          <w:numId w:val="5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Origine raciale ou ethnique</w:t>
      </w:r>
    </w:p>
    <w:p>
      <w:pPr>
        <w:pStyle w:val="TextBody"/>
        <w:numPr>
          <w:ilvl w:val="0"/>
          <w:numId w:val="5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Opinions politiques, religieuses, philosophiques</w:t>
      </w:r>
    </w:p>
    <w:p>
      <w:pPr>
        <w:pStyle w:val="TextBody"/>
        <w:numPr>
          <w:ilvl w:val="0"/>
          <w:numId w:val="5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Appartenance syndicale</w:t>
      </w:r>
    </w:p>
    <w:p>
      <w:pPr>
        <w:pStyle w:val="TextBody"/>
        <w:numPr>
          <w:ilvl w:val="0"/>
          <w:numId w:val="5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Données génétiques, biométriques</w:t>
      </w:r>
    </w:p>
    <w:p>
      <w:pPr>
        <w:pStyle w:val="TextBody"/>
        <w:numPr>
          <w:ilvl w:val="0"/>
          <w:numId w:val="5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Vie sexuelle, orientation sexuelle</w:t>
      </w:r>
    </w:p>
    <w:p>
      <w:pPr>
        <w:pStyle w:val="TextBody"/>
        <w:numPr>
          <w:ilvl w:val="0"/>
          <w:numId w:val="5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Condamnations pénales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Exemples concrets :</w:t>
      </w:r>
    </w:p>
    <w:p>
      <w:pPr>
        <w:pStyle w:val="TextBody"/>
        <w:numPr>
          <w:ilvl w:val="0"/>
          <w:numId w:val="5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Dossier RH avec arrêts maladie détaillés</w:t>
      </w:r>
    </w:p>
    <w:p>
      <w:pPr>
        <w:pStyle w:val="TextBody"/>
        <w:numPr>
          <w:ilvl w:val="0"/>
          <w:numId w:val="5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Application santé (suivi médical patients)</w:t>
      </w:r>
    </w:p>
    <w:p>
      <w:pPr>
        <w:pStyle w:val="TextBody"/>
        <w:numPr>
          <w:ilvl w:val="0"/>
          <w:numId w:val="5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Gestion association (opinions membres)</w:t>
      </w:r>
    </w:p>
    <w:p>
      <w:pPr>
        <w:pStyle w:val="TextBody"/>
        <w:numPr>
          <w:ilvl w:val="0"/>
          <w:numId w:val="5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Système vidéosurveillance avec reconnaissance faciale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49" w:name="__RefHeading___Toc65710_2150708505"/>
      <w:bookmarkEnd w:id="49"/>
      <w:r>
        <w:rPr/>
        <w:t>Mesures techniques OBLIGATOIRES RENFORCÉES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0" w:name="__RefHeading___Toc65712_2150708505"/>
      <w:bookmarkEnd w:id="50"/>
      <w:r>
        <w:rPr>
          <w:rStyle w:val="StrongEmphasis"/>
          <w:b/>
        </w:rPr>
        <w:t>Infrastructure serveur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Type serveur :</w:t>
      </w:r>
    </w:p>
    <w:p>
      <w:pPr>
        <w:pStyle w:val="TextBody"/>
        <w:numPr>
          <w:ilvl w:val="0"/>
          <w:numId w:val="5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OBLIGATOIRE : Serveur Dedicated uniquement</w:t>
      </w:r>
    </w:p>
    <w:p>
      <w:pPr>
        <w:pStyle w:val="TextBody"/>
        <w:numPr>
          <w:ilvl w:val="0"/>
          <w:numId w:val="5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INTERDIT : VPS, Cloud mutualisé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Configuration :</w:t>
      </w:r>
    </w:p>
    <w:p>
      <w:pPr>
        <w:pStyle w:val="TextBody"/>
        <w:numPr>
          <w:ilvl w:val="0"/>
          <w:numId w:val="5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Baseline DOC-REF-01 à 100%</w:t>
      </w:r>
    </w:p>
    <w:p>
      <w:pPr>
        <w:pStyle w:val="TextBody"/>
        <w:numPr>
          <w:ilvl w:val="0"/>
          <w:numId w:val="5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Isolation maximale (pas de multi-tenant)</w:t>
      </w:r>
    </w:p>
    <w:p>
      <w:pPr>
        <w:pStyle w:val="TextBody"/>
        <w:numPr>
          <w:ilvl w:val="0"/>
          <w:numId w:val="5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Durcissement renforcé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Localisation :</w:t>
      </w:r>
    </w:p>
    <w:p>
      <w:pPr>
        <w:pStyle w:val="TextBody"/>
        <w:numPr>
          <w:ilvl w:val="0"/>
          <w:numId w:val="93"/>
        </w:numPr>
        <w:rPr/>
      </w:pPr>
      <w:r>
        <w:rPr>
          <w:rStyle w:val="StrongEmphasis"/>
        </w:rPr>
        <w:t>Obligatoire :</w:t>
      </w:r>
      <w:r>
        <w:rPr/>
        <w:t xml:space="preserve"> Datacenters UE (France uniquement recommandé)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1" w:name="__RefHeading___Toc65714_2150708505"/>
      <w:bookmarkEnd w:id="51"/>
      <w:r>
        <w:rPr/>
        <w:t>Chiffrement renforcé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Chiffrement en transit :</w:t>
      </w:r>
    </w:p>
    <w:p>
      <w:pPr>
        <w:pStyle w:val="TextBody"/>
        <w:numPr>
          <w:ilvl w:val="0"/>
          <w:numId w:val="6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HTTPS obligatoire</w:t>
      </w:r>
      <w:r>
        <w:rPr/>
        <w:t xml:space="preserve"> (SSL/TLS 1.3 recommandé)</w:t>
      </w:r>
    </w:p>
    <w:p>
      <w:pPr>
        <w:pStyle w:val="TextBody"/>
        <w:numPr>
          <w:ilvl w:val="0"/>
          <w:numId w:val="6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HSTS activé (force HTTPS)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Chiffrement au repos :</w:t>
      </w:r>
    </w:p>
    <w:p>
      <w:pPr>
        <w:pStyle w:val="TextBody"/>
        <w:numPr>
          <w:ilvl w:val="0"/>
          <w:numId w:val="6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LUKS OBLIGATOIRE</w:t>
      </w:r>
      <w:r>
        <w:rPr/>
        <w:t xml:space="preserve"> sur partition données</w:t>
      </w:r>
    </w:p>
    <w:p>
      <w:pPr>
        <w:pStyle w:val="TextBody"/>
        <w:numPr>
          <w:ilvl w:val="0"/>
          <w:numId w:val="6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Algorithme : AES-256</w:t>
      </w:r>
    </w:p>
    <w:p>
      <w:pPr>
        <w:pStyle w:val="TextBody"/>
        <w:numPr>
          <w:ilvl w:val="0"/>
          <w:numId w:val="6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Passphrase forte (20+ caractères)</w:t>
      </w:r>
    </w:p>
    <w:p>
      <w:pPr>
        <w:pStyle w:val="TextBody"/>
        <w:numPr>
          <w:ilvl w:val="0"/>
          <w:numId w:val="6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: DOC-REF-01 [REF-CHIFFREMENT-REPOS] §11.2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Chiffrement backups :</w:t>
      </w:r>
    </w:p>
    <w:p>
      <w:pPr>
        <w:pStyle w:val="TextBody"/>
        <w:numPr>
          <w:ilvl w:val="0"/>
          <w:numId w:val="6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AES-256 obligatoire</w:t>
      </w:r>
    </w:p>
    <w:p>
      <w:pPr>
        <w:pStyle w:val="TextBody"/>
        <w:numPr>
          <w:ilvl w:val="0"/>
          <w:numId w:val="6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Clé distincte de la clé LUKS</w:t>
      </w:r>
    </w:p>
    <w:p>
      <w:pPr>
        <w:pStyle w:val="TextBody"/>
        <w:numPr>
          <w:ilvl w:val="0"/>
          <w:numId w:val="6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Stockage clés : Passbolt + coffre physique séparé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2" w:name="__RefHeading___Toc65716_2150708505"/>
      <w:bookmarkEnd w:id="52"/>
      <w:r>
        <w:rPr/>
        <w:t>Contrôle d'accès strict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Limitation accès :</w:t>
      </w:r>
    </w:p>
    <w:p>
      <w:pPr>
        <w:pStyle w:val="TextBody"/>
        <w:numPr>
          <w:ilvl w:val="0"/>
          <w:numId w:val="6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Maximum 2-3 personnes</w:t>
      </w:r>
      <w:r>
        <w:rPr/>
        <w:t xml:space="preserve"> avec accès aux données</w:t>
      </w:r>
    </w:p>
    <w:p>
      <w:pPr>
        <w:pStyle w:val="TextBody"/>
        <w:numPr>
          <w:ilvl w:val="0"/>
          <w:numId w:val="6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Liste nominative validée par Direction</w:t>
      </w:r>
    </w:p>
    <w:p>
      <w:pPr>
        <w:pStyle w:val="TextBody"/>
        <w:numPr>
          <w:ilvl w:val="0"/>
          <w:numId w:val="6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Justification écrite obligatoire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Formation :</w:t>
      </w:r>
    </w:p>
    <w:p>
      <w:pPr>
        <w:pStyle w:val="TextBody"/>
        <w:numPr>
          <w:ilvl w:val="0"/>
          <w:numId w:val="6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Formation APDP renforcée obligatoire</w:t>
      </w:r>
    </w:p>
    <w:p>
      <w:pPr>
        <w:pStyle w:val="TextBody"/>
        <w:numPr>
          <w:ilvl w:val="0"/>
          <w:numId w:val="6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Sensibilisation spécifique données sensibles</w:t>
      </w:r>
    </w:p>
    <w:p>
      <w:pPr>
        <w:pStyle w:val="TextBody"/>
        <w:numPr>
          <w:ilvl w:val="0"/>
          <w:numId w:val="6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Engagement de confidentialité signé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Revue accès :</w:t>
      </w:r>
    </w:p>
    <w:p>
      <w:pPr>
        <w:pStyle w:val="TextBody"/>
        <w:numPr>
          <w:ilvl w:val="0"/>
          <w:numId w:val="6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Mensuelle ou bimestrielle</w:t>
      </w:r>
      <w:r>
        <w:rPr/>
        <w:t xml:space="preserve"> (tous les 1-2 mois)</w:t>
      </w:r>
    </w:p>
    <w:p>
      <w:pPr>
        <w:pStyle w:val="TextBody"/>
        <w:numPr>
          <w:ilvl w:val="0"/>
          <w:numId w:val="6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Validation Direction + DPO (si existe)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Traçabilité renforcée :</w:t>
      </w:r>
    </w:p>
    <w:p>
      <w:pPr>
        <w:pStyle w:val="TextBody"/>
        <w:numPr>
          <w:ilvl w:val="0"/>
          <w:numId w:val="6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Logs détaillés : Qui accède à quelle donnée précisément</w:t>
      </w:r>
    </w:p>
    <w:p>
      <w:pPr>
        <w:pStyle w:val="TextBody"/>
        <w:numPr>
          <w:ilvl w:val="0"/>
          <w:numId w:val="6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Alertes temps réel si accès inhabituel</w:t>
      </w:r>
    </w:p>
    <w:p>
      <w:pPr>
        <w:pStyle w:val="TextBody"/>
        <w:numPr>
          <w:ilvl w:val="0"/>
          <w:numId w:val="6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Surveillance continue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3" w:name="__RefHeading___Toc65718_2150708505"/>
      <w:bookmarkEnd w:id="53"/>
      <w:r>
        <w:rPr/>
        <w:t>Logs renforcés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Rétention logs :</w:t>
      </w:r>
    </w:p>
    <w:p>
      <w:pPr>
        <w:pStyle w:val="TextBody"/>
        <w:numPr>
          <w:ilvl w:val="0"/>
          <w:numId w:val="6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Minimum 180 jours</w:t>
      </w:r>
      <w:r>
        <w:rPr/>
        <w:t xml:space="preserve"> (6 mois)</w:t>
      </w:r>
    </w:p>
    <w:p>
      <w:pPr>
        <w:pStyle w:val="TextBody"/>
        <w:numPr>
          <w:ilvl w:val="0"/>
          <w:numId w:val="6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Recommandé : 12 mois si possible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Logs détaillés obligatoires :</w:t>
      </w:r>
    </w:p>
    <w:p>
      <w:pPr>
        <w:pStyle w:val="TextBody"/>
        <w:numPr>
          <w:ilvl w:val="0"/>
          <w:numId w:val="6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Accès base données (requêtes SQL si possible)</w:t>
      </w:r>
    </w:p>
    <w:p>
      <w:pPr>
        <w:pStyle w:val="TextBody"/>
        <w:numPr>
          <w:ilvl w:val="0"/>
          <w:numId w:val="6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Exports de données</w:t>
      </w:r>
    </w:p>
    <w:p>
      <w:pPr>
        <w:pStyle w:val="TextBody"/>
        <w:numPr>
          <w:ilvl w:val="0"/>
          <w:numId w:val="6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Modifications données</w:t>
      </w:r>
    </w:p>
    <w:p>
      <w:pPr>
        <w:pStyle w:val="TextBody"/>
        <w:numPr>
          <w:ilvl w:val="0"/>
          <w:numId w:val="6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Consultations dossiers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Audit régulier :</w:t>
      </w:r>
    </w:p>
    <w:p>
      <w:pPr>
        <w:pStyle w:val="TextBody"/>
        <w:numPr>
          <w:ilvl w:val="0"/>
          <w:numId w:val="6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Revue logs mensuelle minimum</w:t>
      </w:r>
    </w:p>
    <w:p>
      <w:pPr>
        <w:pStyle w:val="TextBody"/>
        <w:numPr>
          <w:ilvl w:val="0"/>
          <w:numId w:val="6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Recherche accès anormaux</w:t>
      </w:r>
    </w:p>
    <w:p>
      <w:pPr>
        <w:pStyle w:val="TextBody"/>
        <w:numPr>
          <w:ilvl w:val="0"/>
          <w:numId w:val="6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Rapport d'audit trimestriel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4" w:name="__RefHeading___Toc65720_2150708505"/>
      <w:bookmarkEnd w:id="54"/>
      <w:r>
        <w:rPr/>
        <w:t>Sauvegarde renforcée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Fréquence :</w:t>
      </w:r>
    </w:p>
    <w:p>
      <w:pPr>
        <w:pStyle w:val="TextBody"/>
        <w:numPr>
          <w:ilvl w:val="0"/>
          <w:numId w:val="7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Quotidien obligatoire</w:t>
      </w:r>
    </w:p>
    <w:p>
      <w:pPr>
        <w:pStyle w:val="TextBody"/>
        <w:numPr>
          <w:ilvl w:val="0"/>
          <w:numId w:val="7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Backup incrémental + snapshot complet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Chiffrement :</w:t>
      </w:r>
    </w:p>
    <w:p>
      <w:pPr>
        <w:pStyle w:val="TextBody"/>
        <w:numPr>
          <w:ilvl w:val="0"/>
          <w:numId w:val="7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AES-256 obligatoire</w:t>
      </w:r>
    </w:p>
    <w:p>
      <w:pPr>
        <w:pStyle w:val="TextBody"/>
        <w:numPr>
          <w:ilvl w:val="0"/>
          <w:numId w:val="7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Double chiffrement recommandé (LUKS + backup chiffré)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Tests restauration :</w:t>
      </w:r>
    </w:p>
    <w:p>
      <w:pPr>
        <w:pStyle w:val="TextBody"/>
        <w:numPr>
          <w:ilvl w:val="0"/>
          <w:numId w:val="7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Mensuel obligatoire</w:t>
      </w:r>
    </w:p>
    <w:p>
      <w:pPr>
        <w:pStyle w:val="TextBody"/>
        <w:numPr>
          <w:ilvl w:val="0"/>
          <w:numId w:val="7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Tests complets avec validation intégrité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Stockage :</w:t>
      </w:r>
    </w:p>
    <w:p>
      <w:pPr>
        <w:pStyle w:val="TextBody"/>
        <w:numPr>
          <w:ilvl w:val="0"/>
          <w:numId w:val="7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Copies multiples (3-2-1)</w:t>
      </w:r>
    </w:p>
    <w:p>
      <w:pPr>
        <w:pStyle w:val="TextBody"/>
        <w:numPr>
          <w:ilvl w:val="0"/>
          <w:numId w:val="7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Au moins 1 copie hors site (autre datacenter)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5" w:name="__RefHeading___Toc65722_2150708505"/>
      <w:bookmarkEnd w:id="55"/>
      <w:r>
        <w:rPr/>
        <w:t>Destruction sécurisée renforcée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Méthode :</w:t>
      </w:r>
    </w:p>
    <w:p>
      <w:pPr>
        <w:pStyle w:val="TextBody"/>
        <w:numPr>
          <w:ilvl w:val="0"/>
          <w:numId w:val="7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 </w:t>
      </w:r>
      <w:r>
        <w:rPr>
          <w:rStyle w:val="StrongEmphasis"/>
        </w:rPr>
        <w:t>shred 7 passes (méthode DoD 5220.22-M)</w:t>
      </w:r>
    </w:p>
    <w:p>
      <w:pPr>
        <w:pStyle w:val="TextBody"/>
        <w:numPr>
          <w:ilvl w:val="0"/>
          <w:numId w:val="74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rStyle w:val="StrongEmphasis"/>
          <w:rFonts w:ascii="Times New Roman" w:hAnsi="Times New Roman"/>
        </w:rPr>
        <w:t xml:space="preserve"> </w:t>
      </w:r>
      <w:r>
        <w:rPr>
          <w:rStyle w:val="SourceText"/>
          <w:rFonts w:ascii="Times New Roman" w:hAnsi="Times New Roman"/>
        </w:rPr>
        <w:t>Commande : shred -vfz -n 7 /dev/sdX</w:t>
      </w:r>
    </w:p>
    <w:p>
      <w:pPr>
        <w:pStyle w:val="TextBody"/>
        <w:numPr>
          <w:ilvl w:val="0"/>
          <w:numId w:val="74"/>
        </w:numPr>
        <w:tabs>
          <w:tab w:val="clear" w:pos="708"/>
          <w:tab w:val="left" w:pos="0" w:leader="none"/>
        </w:tabs>
        <w:ind w:left="709" w:hanging="283"/>
        <w:rPr/>
      </w:pPr>
      <w:r>
        <w:rPr>
          <w:rStyle w:val="SourceText"/>
        </w:rPr>
        <w:t xml:space="preserve"> </w:t>
      </w:r>
      <w:r>
        <w:rPr>
          <w:rStyle w:val="SourceText"/>
          <w:rFonts w:ascii="Times New Roman" w:hAnsi="Times New Roman"/>
        </w:rPr>
        <w:t>Vérification effacement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Traçabilité :</w:t>
      </w:r>
    </w:p>
    <w:p>
      <w:pPr>
        <w:pStyle w:val="TextBody"/>
        <w:numPr>
          <w:ilvl w:val="0"/>
          <w:numId w:val="7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Certificat de destruction détaillé obligatoire</w:t>
      </w:r>
    </w:p>
    <w:p>
      <w:pPr>
        <w:pStyle w:val="TextBody"/>
        <w:numPr>
          <w:ilvl w:val="0"/>
          <w:numId w:val="7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Validation Direction</w:t>
      </w:r>
    </w:p>
    <w:p>
      <w:pPr>
        <w:pStyle w:val="TextBody"/>
        <w:numPr>
          <w:ilvl w:val="0"/>
          <w:numId w:val="7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Archivage 5 ans minimum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6" w:name="__RefHeading___Toc65724_2150708505"/>
      <w:bookmarkEnd w:id="56"/>
      <w:r>
        <w:rPr/>
        <w:t>Mesures organisationnelles renforcées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AIPD :</w:t>
      </w:r>
    </w:p>
    <w:p>
      <w:pPr>
        <w:pStyle w:val="TextBody"/>
        <w:numPr>
          <w:ilvl w:val="0"/>
          <w:numId w:val="7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OBLIGATOIRE systématiquement</w:t>
      </w:r>
    </w:p>
    <w:p>
      <w:pPr>
        <w:pStyle w:val="TextBody"/>
        <w:numPr>
          <w:ilvl w:val="0"/>
          <w:numId w:val="7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Validation DPO (si existe)</w:t>
      </w:r>
    </w:p>
    <w:p>
      <w:pPr>
        <w:pStyle w:val="TextBody"/>
        <w:numPr>
          <w:ilvl w:val="0"/>
          <w:numId w:val="7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Mise à jour annuelle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Pseudonymisation</w:t>
      </w:r>
      <w:r>
        <w:rPr>
          <w:rStyle w:val="StrongEmphasis"/>
        </w:rPr>
        <w:t xml:space="preserve"> :</w:t>
      </w:r>
    </w:p>
    <w:p>
      <w:pPr>
        <w:pStyle w:val="TextBody"/>
        <w:numPr>
          <w:ilvl w:val="0"/>
          <w:numId w:val="7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Fortement recommandée</w:t>
      </w:r>
    </w:p>
    <w:p>
      <w:pPr>
        <w:pStyle w:val="TextBody"/>
        <w:numPr>
          <w:ilvl w:val="0"/>
          <w:numId w:val="7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Séparer données identifiantes / données sensibles si possible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Minimisation</w:t>
      </w:r>
      <w:r>
        <w:rPr>
          <w:rStyle w:val="StrongEmphasis"/>
        </w:rPr>
        <w:t xml:space="preserve"> :</w:t>
      </w:r>
    </w:p>
    <w:p>
      <w:pPr>
        <w:pStyle w:val="TextBody"/>
        <w:numPr>
          <w:ilvl w:val="0"/>
          <w:numId w:val="7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Ne collecter QUE le strict nécessaire</w:t>
      </w:r>
    </w:p>
    <w:p>
      <w:pPr>
        <w:pStyle w:val="TextBody"/>
        <w:numPr>
          <w:ilvl w:val="0"/>
          <w:numId w:val="7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"au cas où"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Registre</w:t>
      </w:r>
      <w:r>
        <w:rPr>
          <w:rStyle w:val="StrongEmphasis"/>
        </w:rPr>
        <w:t xml:space="preserve"> </w:t>
      </w: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APDP</w:t>
      </w:r>
      <w:r>
        <w:rPr>
          <w:rStyle w:val="StrongEmphasis"/>
        </w:rPr>
        <w:t xml:space="preserve"> :</w:t>
      </w:r>
    </w:p>
    <w:p>
      <w:pPr>
        <w:pStyle w:val="TextBody"/>
        <w:numPr>
          <w:ilvl w:val="0"/>
          <w:numId w:val="7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Mention explicite "données sensibles"</w:t>
      </w:r>
    </w:p>
    <w:p>
      <w:pPr>
        <w:pStyle w:val="TextBody"/>
        <w:numPr>
          <w:ilvl w:val="0"/>
          <w:numId w:val="7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Mesures de sécurité détaillées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Notification violations :</w:t>
      </w:r>
    </w:p>
    <w:p>
      <w:pPr>
        <w:pStyle w:val="TextBody"/>
        <w:numPr>
          <w:ilvl w:val="0"/>
          <w:numId w:val="8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&lt; 72h APDP</w:t>
      </w:r>
    </w:p>
    <w:p>
      <w:pPr>
        <w:pStyle w:val="TextBody"/>
        <w:numPr>
          <w:ilvl w:val="0"/>
          <w:numId w:val="8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 xml:space="preserve">Notification personnes </w:t>
      </w:r>
      <w:r>
        <w:rPr>
          <w:rStyle w:val="StrongEmphasis"/>
        </w:rPr>
        <w:t>quasi-systématique</w:t>
      </w:r>
      <w:r>
        <w:rPr/>
        <w:t xml:space="preserve"> (risque toujours élevé)</w:t>
      </w:r>
    </w:p>
    <w:p>
      <w:pPr>
        <w:pStyle w:val="Heading3"/>
        <w:ind w:left="0" w:hanging="0"/>
        <w:rPr/>
      </w:pPr>
      <w:bookmarkStart w:id="57" w:name="__RefHeading___Toc65726_2150708505"/>
      <w:bookmarkEnd w:id="57"/>
      <w:r>
        <w:rPr>
          <w:rStyle w:val="StrongEmphasis"/>
          <w:b/>
        </w:rPr>
        <w:t>Restrictions légales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Traitement interdit SAUF :</w:t>
      </w:r>
    </w:p>
    <w:p>
      <w:pPr>
        <w:pStyle w:val="TextBody"/>
        <w:numPr>
          <w:ilvl w:val="0"/>
          <w:numId w:val="8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Consentement explicite de la personne</w:t>
      </w:r>
    </w:p>
    <w:p>
      <w:pPr>
        <w:pStyle w:val="TextBody"/>
        <w:numPr>
          <w:ilvl w:val="0"/>
          <w:numId w:val="8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Obligation légale (ex: santé au travail)</w:t>
      </w:r>
    </w:p>
    <w:p>
      <w:pPr>
        <w:pStyle w:val="TextBody"/>
        <w:numPr>
          <w:ilvl w:val="0"/>
          <w:numId w:val="8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Sauvegarde intérêts vitaux</w:t>
      </w:r>
    </w:p>
    <w:p>
      <w:pPr>
        <w:pStyle w:val="TextBody"/>
        <w:numPr>
          <w:ilvl w:val="0"/>
          <w:numId w:val="8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Intérêt public important</w:t>
      </w:r>
    </w:p>
    <w:p>
      <w:pPr>
        <w:pStyle w:val="TextBody"/>
        <w:numPr>
          <w:ilvl w:val="0"/>
          <w:numId w:val="8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Constat/exercice droits en justice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ATTENTION :</w:t>
      </w:r>
      <w:r>
        <w:rPr/>
        <w:t xml:space="preserve"> Ne jamais traiter données sensibles sans base légale claire et documentée.</w:t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8" w:name="__RefHeading___Toc65728_2150708505"/>
      <w:bookmarkEnd w:id="58"/>
      <w:r>
        <w:rPr/>
        <w:t>MESURES TRANSVERSALES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59" w:name="__RefHeading___Toc65730_2150708505"/>
      <w:bookmarkEnd w:id="59"/>
      <w:r>
        <w:rPr/>
        <w:t>Principe de minimisation</w:t>
      </w:r>
    </w:p>
    <w:p>
      <w:pPr>
        <w:pStyle w:val="Heading3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0" w:name="__RefHeading___Toc65732_2150708505"/>
      <w:bookmarkEnd w:id="60"/>
      <w:r>
        <w:rPr>
          <w:rStyle w:val="StrongEmphasis"/>
          <w:b/>
        </w:rPr>
        <w:t>Règle d'or :</w:t>
      </w:r>
      <w:r>
        <w:rPr/>
        <w:t xml:space="preserve"> </w:t>
      </w:r>
      <w:r>
        <w:rPr>
          <w:rFonts w:eastAsia="Calibri" w:cs="DejaVu Sans"/>
          <w:b w:val="false"/>
          <w:bCs w:val="false"/>
          <w:color w:val="auto"/>
          <w:kern w:val="0"/>
          <w:sz w:val="24"/>
          <w:szCs w:val="32"/>
          <w:lang w:val="fr-FR" w:eastAsia="en-US" w:bidi="ar-SA"/>
        </w:rPr>
        <w:t>Ne collecter et conserver QUE les données strictement nécessaires</w:t>
      </w:r>
      <w:r>
        <w:rPr>
          <w:b/>
          <w:bCs/>
        </w:rPr>
        <w:t>.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Application :</w:t>
      </w:r>
    </w:p>
    <w:p>
      <w:pPr>
        <w:pStyle w:val="TextBody"/>
        <w:numPr>
          <w:ilvl w:val="0"/>
          <w:numId w:val="8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Questionnement systématique : "Ai-je vraiment besoin de cette donnée ?"</w:t>
      </w:r>
    </w:p>
    <w:p>
      <w:pPr>
        <w:pStyle w:val="TextBody"/>
        <w:numPr>
          <w:ilvl w:val="0"/>
          <w:numId w:val="8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Pas de collecte "au cas où"</w:t>
      </w:r>
    </w:p>
    <w:p>
      <w:pPr>
        <w:pStyle w:val="TextBody"/>
        <w:numPr>
          <w:ilvl w:val="0"/>
          <w:numId w:val="8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Suppression dès que objectif atteint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1" w:name="__RefHeading___Toc65734_2150708505"/>
      <w:bookmarkEnd w:id="61"/>
      <w:r>
        <w:rPr/>
        <w:t>Limitation de la durée de conservation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Obligations APDP :</w:t>
      </w:r>
    </w:p>
    <w:p>
      <w:pPr>
        <w:pStyle w:val="TextBody"/>
        <w:numPr>
          <w:ilvl w:val="0"/>
          <w:numId w:val="8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Durée définie et justifiée</w:t>
      </w:r>
    </w:p>
    <w:p>
      <w:pPr>
        <w:pStyle w:val="TextBody"/>
        <w:numPr>
          <w:ilvl w:val="0"/>
          <w:numId w:val="8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Suppression automatique si possible</w:t>
      </w:r>
    </w:p>
    <w:p>
      <w:pPr>
        <w:pStyle w:val="TextBody"/>
        <w:numPr>
          <w:ilvl w:val="0"/>
          <w:numId w:val="83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Archivage si obligation légale (comptabilité : 10 ans, etc.)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Exemples durées :</w:t>
      </w:r>
    </w:p>
    <w:p>
      <w:pPr>
        <w:pStyle w:val="TextBody"/>
        <w:numPr>
          <w:ilvl w:val="0"/>
          <w:numId w:val="8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Clients actifs : 3 ans après dernière transaction</w:t>
      </w:r>
    </w:p>
    <w:p>
      <w:pPr>
        <w:pStyle w:val="TextBody"/>
        <w:numPr>
          <w:ilvl w:val="0"/>
          <w:numId w:val="8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Prospects : 3 ans après dernier contact</w:t>
      </w:r>
    </w:p>
    <w:p>
      <w:pPr>
        <w:pStyle w:val="TextBody"/>
        <w:numPr>
          <w:ilvl w:val="0"/>
          <w:numId w:val="8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CV non retenus : 2 ans maximum</w:t>
      </w:r>
    </w:p>
    <w:p>
      <w:pPr>
        <w:pStyle w:val="TextBody"/>
        <w:numPr>
          <w:ilvl w:val="0"/>
          <w:numId w:val="84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Logs : 90-180 jours selon type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2" w:name="__RefHeading___Toc65736_2150708505"/>
      <w:bookmarkEnd w:id="62"/>
      <w:r>
        <w:rPr/>
        <w:t>Droits des personnes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Droits APDP à garantir :</w:t>
      </w:r>
    </w:p>
    <w:p>
      <w:pPr>
        <w:pStyle w:val="TextBody"/>
        <w:numPr>
          <w:ilvl w:val="0"/>
          <w:numId w:val="8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d'accès</w:t>
      </w:r>
      <w:r>
        <w:rPr/>
        <w:t xml:space="preserve"> : La personne peut obtenir copie de ses données</w:t>
      </w:r>
    </w:p>
    <w:p>
      <w:pPr>
        <w:pStyle w:val="TextBody"/>
        <w:numPr>
          <w:ilvl w:val="0"/>
          <w:numId w:val="8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de rectification</w:t>
      </w:r>
      <w:r>
        <w:rPr/>
        <w:t xml:space="preserve"> : Corriger données inexactes</w:t>
      </w:r>
    </w:p>
    <w:p>
      <w:pPr>
        <w:pStyle w:val="TextBody"/>
        <w:numPr>
          <w:ilvl w:val="0"/>
          <w:numId w:val="8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à l'effacement</w:t>
      </w:r>
      <w:r>
        <w:rPr/>
        <w:t xml:space="preserve"> : "Droit à l'oubli" (sous conditions)</w:t>
      </w:r>
    </w:p>
    <w:p>
      <w:pPr>
        <w:pStyle w:val="TextBody"/>
        <w:numPr>
          <w:ilvl w:val="0"/>
          <w:numId w:val="8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d'opposition</w:t>
      </w:r>
      <w:r>
        <w:rPr/>
        <w:t xml:space="preserve"> : S'opposer au traitement</w:t>
      </w:r>
    </w:p>
    <w:p>
      <w:pPr>
        <w:pStyle w:val="TextBody"/>
        <w:numPr>
          <w:ilvl w:val="0"/>
          <w:numId w:val="85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à la portabilité</w:t>
      </w:r>
      <w:r>
        <w:rPr/>
        <w:t xml:space="preserve"> : Récupérer données format structuré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Délai réponse :</w:t>
      </w:r>
      <w:r>
        <w:rPr/>
        <w:t xml:space="preserve"> 1 mois maximum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Procédure :</w:t>
      </w:r>
      <w:r>
        <w:rPr/>
        <w:t xml:space="preserve"> À documenter (email dédié, formulaire, etc.)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3" w:name="__RefHeading___Toc65738_2150708505"/>
      <w:bookmarkEnd w:id="63"/>
      <w:r>
        <w:rPr/>
        <w:t>Sous-traitance (OVH)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Contrat obligatoire :</w:t>
      </w:r>
    </w:p>
    <w:p>
      <w:pPr>
        <w:pStyle w:val="TextBody"/>
        <w:numPr>
          <w:ilvl w:val="0"/>
          <w:numId w:val="8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DPA (Data Processing Agreement) signé avec OVH</w:t>
      </w:r>
    </w:p>
    <w:p>
      <w:pPr>
        <w:pStyle w:val="TextBody"/>
        <w:numPr>
          <w:ilvl w:val="0"/>
          <w:numId w:val="8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Clauses APDP conformes</w:t>
      </w:r>
    </w:p>
    <w:p>
      <w:pPr>
        <w:pStyle w:val="TextBody"/>
        <w:numPr>
          <w:ilvl w:val="0"/>
          <w:numId w:val="86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Référence : DOC-CONF-03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Responsabilités :</w:t>
      </w:r>
    </w:p>
    <w:p>
      <w:pPr>
        <w:pStyle w:val="TextBody"/>
        <w:numPr>
          <w:ilvl w:val="0"/>
          <w:numId w:val="8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Vous = Responsable de traitement</w:t>
      </w:r>
    </w:p>
    <w:p>
      <w:pPr>
        <w:pStyle w:val="TextBody"/>
        <w:numPr>
          <w:ilvl w:val="0"/>
          <w:numId w:val="8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OVH = Sous-traitant (hébergement)</w:t>
      </w:r>
    </w:p>
    <w:p>
      <w:pPr>
        <w:pStyle w:val="TextBody"/>
        <w:numPr>
          <w:ilvl w:val="0"/>
          <w:numId w:val="87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OVH doit notifier violations, assister pour droits personnes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4" w:name="__RefHeading___Toc65740_2150708505"/>
      <w:bookmarkEnd w:id="64"/>
      <w:r>
        <w:rPr/>
        <w:t>Transferts hors Bénin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Si transfert données hors Bénin :</w:t>
      </w:r>
    </w:p>
    <w:p>
      <w:pPr>
        <w:pStyle w:val="TextBody"/>
        <w:numPr>
          <w:ilvl w:val="0"/>
          <w:numId w:val="8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nécessaire</w:t>
      </w:r>
    </w:p>
    <w:p>
      <w:pPr>
        <w:pStyle w:val="TextBody"/>
        <w:numPr>
          <w:ilvl w:val="0"/>
          <w:numId w:val="8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Garanties appropriées (clauses contractuelles types)</w:t>
      </w:r>
    </w:p>
    <w:p>
      <w:pPr>
        <w:pStyle w:val="TextBody"/>
        <w:numPr>
          <w:ilvl w:val="0"/>
          <w:numId w:val="88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Information personnes concernées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OVH France :</w:t>
      </w:r>
      <w:r>
        <w:rPr/>
        <w:t xml:space="preserve"> Considéré comme conforme (UE, niveau protection adéquat)</w:t>
      </w:r>
    </w:p>
    <w:p>
      <w:pPr>
        <w:pStyle w:val="Heading1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5" w:name="__RefHeading___Toc65742_2150708505"/>
      <w:bookmarkEnd w:id="65"/>
      <w:r>
        <w:rPr/>
        <w:t>PROCÉDURES APDP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6" w:name="__RefHeading___Toc65744_2150708505"/>
      <w:bookmarkEnd w:id="66"/>
      <w:r>
        <w:rPr/>
        <w:t>Mise en service serveur données personnelles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Checklist spécifique (en plus de PROC-01) :</w:t>
      </w:r>
    </w:p>
    <w:p>
      <w:pPr>
        <w:pStyle w:val="TextBody"/>
        <w:numPr>
          <w:ilvl w:val="0"/>
          <w:numId w:val="8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Classification données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Type identifié (standard / sensible)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Volume personnes estimé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Finalité documentée</w:t>
      </w:r>
    </w:p>
    <w:p>
      <w:pPr>
        <w:pStyle w:val="TextBody"/>
        <w:numPr>
          <w:ilvl w:val="0"/>
          <w:numId w:val="8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Base légale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Base légale identifiée (consentement, contrat, etc.)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Documentation claire</w:t>
      </w:r>
    </w:p>
    <w:p>
      <w:pPr>
        <w:pStyle w:val="TextBody"/>
        <w:numPr>
          <w:ilvl w:val="0"/>
          <w:numId w:val="8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Mesures techniques selon classification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Tableau §2 consulté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Toutes mesures obligatoires appliquées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Tests validation effectués</w:t>
      </w:r>
    </w:p>
    <w:p>
      <w:pPr>
        <w:pStyle w:val="TextBody"/>
        <w:numPr>
          <w:ilvl w:val="0"/>
          <w:numId w:val="8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AIPD si nécessaire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Évaluation nécessité AIPD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Si oui : AIPD réalisée et validée</w:t>
      </w:r>
    </w:p>
    <w:p>
      <w:pPr>
        <w:pStyle w:val="TextBody"/>
        <w:numPr>
          <w:ilvl w:val="0"/>
          <w:numId w:val="8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Registre des traitements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Traitement documenté dans DOC-CONF-01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Serveur lié au traitement (DOC-OPS-01)</w:t>
      </w:r>
    </w:p>
    <w:p>
      <w:pPr>
        <w:pStyle w:val="TextBody"/>
        <w:numPr>
          <w:ilvl w:val="0"/>
          <w:numId w:val="8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Formation utilisateurs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Tous accès formés APDP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Attestations conservées</w:t>
      </w:r>
    </w:p>
    <w:p>
      <w:pPr>
        <w:pStyle w:val="TextBody"/>
        <w:numPr>
          <w:ilvl w:val="0"/>
          <w:numId w:val="89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Revues planifiées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Fréquence revue définie selon classification</w:t>
      </w:r>
    </w:p>
    <w:p>
      <w:pPr>
        <w:pStyle w:val="TextBody"/>
        <w:numPr>
          <w:ilvl w:val="1"/>
          <w:numId w:val="89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[ ] Première revue calendrier (3 mois ou 6 mois)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7" w:name="__RefHeading___Toc65746_2150708505"/>
      <w:bookmarkEnd w:id="67"/>
      <w:r>
        <w:rPr/>
        <w:t>Gestion violation données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Référence complète :</w:t>
      </w:r>
      <w:r>
        <w:rPr/>
        <w:t xml:space="preserve"> PROC-03 (Notification APDP)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Étapes clés :</w:t>
      </w:r>
    </w:p>
    <w:p>
      <w:pPr>
        <w:pStyle w:val="TextBody"/>
        <w:numPr>
          <w:ilvl w:val="0"/>
          <w:numId w:val="9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Détection violation</w:t>
      </w:r>
    </w:p>
    <w:p>
      <w:pPr>
        <w:pStyle w:val="TextBody"/>
        <w:numPr>
          <w:ilvl w:val="0"/>
          <w:numId w:val="9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Évaluation gravité et périmètre</w:t>
      </w:r>
    </w:p>
    <w:p>
      <w:pPr>
        <w:pStyle w:val="TextBody"/>
        <w:numPr>
          <w:ilvl w:val="0"/>
          <w:numId w:val="9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Si données personnelles → Notification APDP &lt; 72h</w:t>
      </w:r>
    </w:p>
    <w:p>
      <w:pPr>
        <w:pStyle w:val="TextBody"/>
        <w:numPr>
          <w:ilvl w:val="0"/>
          <w:numId w:val="9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Notification personnes si risque élevé</w:t>
      </w:r>
    </w:p>
    <w:p>
      <w:pPr>
        <w:pStyle w:val="TextBody"/>
        <w:numPr>
          <w:ilvl w:val="0"/>
          <w:numId w:val="9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complète</w:t>
      </w:r>
    </w:p>
    <w:p>
      <w:pPr>
        <w:pStyle w:val="TextBody"/>
        <w:numPr>
          <w:ilvl w:val="0"/>
          <w:numId w:val="90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Mesures correctives</w:t>
      </w:r>
    </w:p>
    <w:p>
      <w:pPr>
        <w:pStyle w:val="Heading2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bookmarkStart w:id="68" w:name="__RefHeading___Toc65748_2150708505"/>
      <w:bookmarkEnd w:id="68"/>
      <w:r>
        <w:rPr/>
        <w:t>Exercice droits personnes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Procédure type (à adapter) :</w:t>
      </w:r>
    </w:p>
    <w:p>
      <w:pPr>
        <w:pStyle w:val="TextBody"/>
        <w:numPr>
          <w:ilvl w:val="0"/>
          <w:numId w:val="9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Réception demande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Email dédié ou formulaire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Identification personne (preuve identité)</w:t>
      </w:r>
    </w:p>
    <w:p>
      <w:pPr>
        <w:pStyle w:val="TextBody"/>
        <w:numPr>
          <w:ilvl w:val="0"/>
          <w:numId w:val="9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Vérification légitimité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Personne concernée = bien le demandeur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Demande fondée légalement</w:t>
      </w:r>
    </w:p>
    <w:p>
      <w:pPr>
        <w:pStyle w:val="TextBody"/>
        <w:numPr>
          <w:ilvl w:val="0"/>
          <w:numId w:val="9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Traitement technique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d'accès :</w:t>
      </w:r>
      <w:r>
        <w:rPr/>
        <w:t xml:space="preserve"> Export données personne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rectification :</w:t>
      </w:r>
      <w:r>
        <w:rPr/>
        <w:t xml:space="preserve"> Modification base données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effacement :</w:t>
      </w:r>
      <w:r>
        <w:rPr/>
        <w:t xml:space="preserve"> Suppression + backups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Droit opposition :</w:t>
      </w:r>
      <w:r>
        <w:rPr/>
        <w:t xml:space="preserve"> Blocage traitement</w:t>
      </w:r>
    </w:p>
    <w:p>
      <w:pPr>
        <w:pStyle w:val="TextBody"/>
        <w:numPr>
          <w:ilvl w:val="0"/>
          <w:numId w:val="9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Réponse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Délai : 1 mois maximum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Format lisible (PDF, Excel)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Gratuité (sauf abus)</w:t>
      </w:r>
    </w:p>
    <w:p>
      <w:pPr>
        <w:pStyle w:val="TextBody"/>
        <w:numPr>
          <w:ilvl w:val="0"/>
          <w:numId w:val="91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trongEmphasis"/>
        </w:rPr>
        <w:t>Traçabilité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Documenter demande et réponse</w:t>
      </w:r>
    </w:p>
    <w:p>
      <w:pPr>
        <w:pStyle w:val="TextBody"/>
        <w:numPr>
          <w:ilvl w:val="1"/>
          <w:numId w:val="91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Conservation 3 ans</w:t>
      </w:r>
    </w:p>
    <w:p>
      <w:pPr>
        <w:pStyle w:val="Heading1"/>
        <w:ind w:left="0" w:hanging="0"/>
        <w:rPr/>
      </w:pPr>
      <w:bookmarkStart w:id="69" w:name="__RefHeading___Toc65750_2150708505"/>
      <w:bookmarkEnd w:id="69"/>
      <w:r>
        <w:rPr/>
        <w:t>CONFORMITÉ ET AUDIT</w:t>
      </w:r>
    </w:p>
    <w:p>
      <w:pPr>
        <w:pStyle w:val="Heading2"/>
        <w:ind w:left="0" w:hanging="0"/>
        <w:rPr/>
      </w:pPr>
      <w:bookmarkStart w:id="70" w:name="__RefHeading___Toc65752_2150708505"/>
      <w:bookmarkEnd w:id="70"/>
      <w:r>
        <w:rPr/>
        <w:t>Auto-évaluation</w:t>
      </w:r>
    </w:p>
    <w:p>
      <w:pPr>
        <w:pStyle w:val="TextBody"/>
        <w:rPr/>
      </w:pPr>
      <w:r>
        <w:rPr>
          <w:rStyle w:val="StrongEmphasis"/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  <w:t>Checklist conformité par serveur :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72"/>
      </w:tblGrid>
      <w:tr>
        <w:trPr/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reformattedText"/>
              <w:widowControl w:val="false"/>
              <w:spacing w:before="240" w:after="0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SERVEUR : srv-prod-crm-01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TYPE DONNÉES : Données personnelles standard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DERNIÈRE REVUE : 22/01/2026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Type serveur conforme (Dedicated recommandé)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Baseline DOC-REF-01 appliquée à 100%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HTTPS activé et fonctionnel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Chiffrement backup activé (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Type serveur conforme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Baseline DOC-REF-01 appliquée à 100%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HTTPS activé et fonctionnel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☐ </w:t>
            </w:r>
            <w:r>
              <w:rPr>
                <w:rStyle w:val="SourceText"/>
              </w:rPr>
              <w:t>Chiffrement backup activé</w:t>
            </w:r>
          </w:p>
        </w:tc>
      </w:tr>
    </w:tbl>
    <w:p>
      <w:pPr>
        <w:pStyle w:val="TextBody"/>
        <w:rPr>
          <w:rStyle w:val="StrongEmphasis"/>
          <w:rFonts w:ascii="Times New Roman" w:hAnsi="Times New Roman" w:eastAsia="Calibri" w:cs="DejaVu Sans"/>
          <w:i w:val="false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</w:pPr>
      <w:r>
        <w:rPr>
          <w:rFonts w:eastAsia="Calibri" w:cs="DejaVu Sans"/>
          <w:i w:val="false"/>
          <w:iCs w:val="false"/>
          <w:color w:val="014276"/>
          <w:kern w:val="0"/>
          <w:sz w:val="24"/>
          <w:szCs w:val="32"/>
          <w:lang w:val="fr-FR" w:eastAsia="en-US" w:bidi="ar-SA"/>
        </w:rPr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&lt;function_calls&gt; &lt;invoke name="artifacts"&gt; &lt;parameter name="command"&gt;update&lt;/parameter&gt; &lt;parameter name="id"&gt;doc-ref-03-apdp&lt;/parameter&gt; &lt;parameter name="old_str"&gt; (Dedicated recommandé) (&lt;/parameter&gt; &lt;parameter name="new_str"&gt;☐ Type serveur conforme (Dedicated recommandé) ☐ Baseline DOC-REF-01 appliquée à 100% ☐ HTTPS activé et fonctionnel ☐ Chiffrement backup activé (AES-256) ☐ Accès limité (≤ 5 personnes) ☐ Tous accès formés APDP ☐ Logs rétention ≥ 90 jours ☐ Logs accès activés et surveillés ☐ Backup quotidien fonctionnel ☐ Test restauration &lt; 3 mois ☐ Revue accès &lt; 3 mois ☐ Traitement dans registre APDP (DOC-CONF-01) ☐ Durée conservation documentée ☐ Base légale identifiée ☐ AIPD réalisée si nécessaire ☐ Procédure droits personnes en place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RÉSULTAT : 16/16 → CONFORME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Heading2"/>
        <w:ind w:left="0" w:hanging="0"/>
        <w:rPr/>
      </w:pPr>
      <w:bookmarkStart w:id="71" w:name="__RefHeading___Toc65754_2150708505"/>
      <w:bookmarkEnd w:id="71"/>
      <w:r>
        <w:rPr>
          <w:rStyle w:val="SourceText"/>
        </w:rPr>
        <w:t>Audit APDP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72"/>
      </w:tblGrid>
      <w:tr>
        <w:trPr/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reformattedText"/>
              <w:widowControl w:val="false"/>
              <w:spacing w:before="240" w:after="0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**Fréquence :**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**Trimestrielle** pour serveurs données personnelles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**Mensuelle** pour serveurs données sensibles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**Périmètre audit :**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1. Conformité mesures techniques (checklist ci-dessus)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2. Revue logs (accès, anomalies)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3. Tests sécurité (scan ports, tentatives connexion)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4. Validation formations à jour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5. Vérification registre des traitements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6. Tests procédures (exercice droits, notification violations)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**Responsable :** Responsable SI + DPO (si existe)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**Documentation :**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Rapport d'audit écrit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Actions correctives si non-conformités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Archivage 3 ans minimum</w:t>
            </w:r>
          </w:p>
        </w:tc>
      </w:tr>
    </w:tbl>
    <w:p>
      <w:pPr>
        <w:pStyle w:val="Heading2"/>
        <w:ind w:left="0" w:hanging="0"/>
        <w:rPr/>
      </w:pPr>
      <w:bookmarkStart w:id="72" w:name="__RefHeading___Toc65756_2150708505"/>
      <w:bookmarkEnd w:id="72"/>
      <w:r>
        <w:rPr>
          <w:rStyle w:val="SourceText"/>
        </w:rPr>
        <w:t>Contrôle APDP (autorité)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72"/>
      </w:tblGrid>
      <w:tr>
        <w:trPr/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reformattedText"/>
              <w:widowControl w:val="false"/>
              <w:spacing w:before="240" w:after="0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**En cas de contrôle APDP :**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**Documents à fournir :**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DOC-CONF-01 : Registre des traitements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DOC-OPS-01 : Registre des serveurs (onglet APDP)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DOC-REF-03 : Ce document (mesures techniques)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DOC-STRAT-01 : Politique de sécurité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PROC-03 : Procédure notification violations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Rapports audits internes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Attestations formation APDP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AIPD (si réalisées)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Registre violations (si violations passées)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Certificats destruction (si décommissionnements)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**Preuves techniques :**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Exports logs (démonstration traçabilité)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Captures configuration (HTTPS, chiffrement)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Résultats tests restauration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Rapport audit baseline (script DOC-REF-01)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**Coopération :**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Répondre dans délais impartis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Transparence totale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 Mise en œuvre actions correctives rapidement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---</w:t>
            </w:r>
          </w:p>
        </w:tc>
      </w:tr>
    </w:tbl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Heading1"/>
        <w:ind w:left="0" w:hanging="0"/>
        <w:rPr/>
      </w:pPr>
      <w:bookmarkStart w:id="73" w:name="__RefHeading___Toc65758_2150708505"/>
      <w:bookmarkEnd w:id="73"/>
      <w:r>
        <w:rPr>
          <w:rStyle w:val="SourceText"/>
          <w:rFonts w:eastAsia="Calibri" w:cs="DejaVu Sans"/>
          <w:b/>
          <w:caps/>
          <w:color w:val="014276"/>
          <w:kern w:val="0"/>
          <w:sz w:val="32"/>
          <w:szCs w:val="32"/>
          <w:u w:val="single"/>
          <w:lang w:val="fr-FR" w:eastAsia="en-US" w:bidi="ar-SA"/>
        </w:rPr>
        <w:t>TABLEAUX RÉCAPITULATIFS</w:t>
      </w:r>
    </w:p>
    <w:p>
      <w:pPr>
        <w:pStyle w:val="Heading2"/>
        <w:ind w:left="0" w:hanging="0"/>
        <w:rPr/>
      </w:pPr>
      <w:bookmarkStart w:id="74" w:name="__RefHeading___Toc65760_2150708505"/>
      <w:bookmarkEnd w:id="74"/>
      <w:r>
        <w:rPr>
          <w:rStyle w:val="SourceText"/>
        </w:rPr>
        <w:t>Mesures par catégorie technique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72"/>
      </w:tblGrid>
      <w:tr>
        <w:trPr/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reformattedText"/>
              <w:widowControl w:val="false"/>
              <w:spacing w:before="240" w:after="0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Catégorie | Données Publiques | Données Internes | Données Perso Standard | Données Perso Sensibles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|-----------|-------------------|------------------|------------------------|------------------------|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**Infrastructure**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Type serveur | Tous | VPS/Dedicated | Dedicated recommandé | **Dedicated obligatoire**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Baseline DOC-REF-01 | Standard | Standard | **100% obligatoire** | **100% obligatoire**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Localisation | Tous | Tous | **UE (France)** | **UE (France)**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**Chiffrement**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HTTPS | Recommandé | Recommandé | **Obligatoire** | **Obligatoire + HSTS**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Chiffrement repos | Non | Non | Recommandé | **LUKS obligatoire**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Chiffrement backup | Non | Non | **AES-256 obligatoire** | **AES-256 obligatoire**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**Accès**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Limitation | 10+ | 10 | **Max 5** | **Max 2-3**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Formation APDP | Non | Non | **Obligatoire** | **Obligatoire + renforcée**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Revue | Annuelle | Semestrielle | **Trimestrielle** | **Mensuelle/Bimestrielle**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**Logs**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Rétention | 30j | 90j | **90j min** | **180j min**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Logs détaillés | Non | Non | **Obligatoire** | **Obligatoire + audit**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**Backup**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Fréquence | Mensuel | Hebdo | **Quotidien** | **Quotidien**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Test restauration | Annuel | Trimestriel | **Trimestriel** | **Mensuel**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**Conformité**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AIPD | Non | Non | Si risque élevé | **Obligatoire**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Registre APDP | Non | Non | **Obligatoire** | **Obligatoire**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Notification &lt; 72h | Non | Non | **Si violation** | **Si violation**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**Destruction**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Méthode | rm | shred 1 passe | **shred 3 passes** | **shred 7 passes**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Certificat | Non | Non | **Obligatoire** | **Obligatoire** |</w:t>
            </w:r>
          </w:p>
        </w:tc>
      </w:tr>
    </w:tbl>
    <w:p>
      <w:pPr>
        <w:pStyle w:val="Heading2"/>
        <w:ind w:left="0" w:hanging="0"/>
        <w:rPr/>
      </w:pPr>
      <w:bookmarkStart w:id="75" w:name="__RefHeading___Toc65762_2150708505"/>
      <w:bookmarkEnd w:id="75"/>
      <w:r>
        <w:rPr>
          <w:rStyle w:val="SourceText"/>
        </w:rPr>
        <w:t>Délais et fréquences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72"/>
      </w:tblGrid>
      <w:tr>
        <w:trPr/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reformattedText"/>
              <w:widowControl w:val="false"/>
              <w:spacing w:before="240" w:after="0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Action | Standard | Données Perso Standard | Données Perso Sensibles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|--------|----------|------------------------|------------------------|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**Revue accès** | 12 mois | **3 mois** | **1-2 mois**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**Test restauration** | 12 mois | **3 mois** | **1 mois**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**Audit conformité** | Annuel | **Trimestriel** | **Mensuel**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**Notification violation APDP** | N/A | **&lt; 72h** | **&lt; 72h**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**Réponse droits personnes** | N/A | **&lt; 1 mois** | **&lt; 1 mois**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**Révocation accès (départ)** | 48h | **&lt; 4h** | **&lt; 1h**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**Patch CVE critique** | 7j | **48h** | **24h**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**Rétention logs** | 30j | **90j** | **180j**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| **Conservation backups** | 30j | **Selon durée traitement** | **Selon durée traitement** |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>---</w:t>
            </w:r>
          </w:p>
        </w:tc>
      </w:tr>
    </w:tbl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Heading1"/>
        <w:ind w:left="0" w:hanging="0"/>
        <w:rPr/>
      </w:pPr>
      <w:bookmarkStart w:id="76" w:name="__RefHeading___Toc65764_2150708505"/>
      <w:bookmarkEnd w:id="76"/>
      <w:r>
        <w:rPr>
          <w:rStyle w:val="SourceText"/>
        </w:rPr>
        <w:t>ANNEXES</w:t>
      </w:r>
    </w:p>
    <w:p>
      <w:pPr>
        <w:pStyle w:val="Heading2"/>
        <w:ind w:left="0" w:hanging="0"/>
        <w:rPr/>
      </w:pPr>
      <w:bookmarkStart w:id="77" w:name="__RefHeading___Toc65766_2150708505"/>
      <w:bookmarkEnd w:id="77"/>
      <w:r>
        <w:rPr>
          <w:rStyle w:val="SourceText"/>
        </w:rPr>
        <w:t>Annexe A : Arbre de décision classification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9072"/>
      </w:tblGrid>
      <w:tr>
        <w:trPr/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reformattedText"/>
              <w:widowControl w:val="false"/>
              <w:spacing w:before="240" w:after="283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┌─────────────────────────┐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</w:t>
            </w:r>
            <w:r>
              <w:rPr>
                <w:rStyle w:val="SourceText"/>
              </w:rPr>
              <w:t>Données à classifier ?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└────────────┬────────────┘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┌────────────▼────────────┐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</w:t>
            </w:r>
            <w:r>
              <w:rPr>
                <w:rStyle w:val="SourceText"/>
              </w:rPr>
              <w:t>Publiques / diffusables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   </w:t>
            </w:r>
            <w:r>
              <w:rPr>
                <w:rStyle w:val="SourceText"/>
              </w:rPr>
              <w:t>sans restriction ?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└────────┬───────┬────────┘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│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</w:t>
            </w:r>
            <w:r>
              <w:rPr>
                <w:rStyle w:val="SourceText"/>
              </w:rPr>
              <w:t>OUI      NON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│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┌────────▼──┐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 </w:t>
            </w:r>
            <w:r>
              <w:rPr>
                <w:rStyle w:val="SourceText"/>
              </w:rPr>
              <w:t>N1       │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</w:t>
            </w:r>
            <w:r>
              <w:rPr>
                <w:rStyle w:val="SourceText"/>
              </w:rPr>
              <w:t>PUBLIQUES │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└───────────┘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┌────────────▼───────────┐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│ </w:t>
            </w:r>
            <w:r>
              <w:rPr>
                <w:rStyle w:val="SourceText"/>
              </w:rPr>
              <w:t>Permettent identifier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│    </w:t>
            </w:r>
            <w:r>
              <w:rPr>
                <w:rStyle w:val="SourceText"/>
              </w:rPr>
              <w:t>une personne ?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└────────┬───────┬───────┘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</w:t>
            </w:r>
            <w:r>
              <w:rPr>
                <w:rStyle w:val="SourceText"/>
              </w:rPr>
              <w:t>OUI      NON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  ┌────▼────┐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  │   </w:t>
            </w:r>
            <w:r>
              <w:rPr>
                <w:rStyle w:val="SourceText"/>
              </w:rPr>
              <w:t>N2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  │ </w:t>
            </w:r>
            <w:r>
              <w:rPr>
                <w:rStyle w:val="SourceText"/>
              </w:rPr>
              <w:t>INTERNES│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  └─────────┘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┌────────────▼────────────┐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</w:t>
            </w:r>
            <w:r>
              <w:rPr>
                <w:rStyle w:val="SourceText"/>
              </w:rPr>
              <w:t>Dans liste sensible ?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</w:t>
            </w:r>
            <w:r>
              <w:rPr>
                <w:rStyle w:val="SourceText"/>
              </w:rPr>
              <w:t>(santé, origine, etc.)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└────────┬───────┬────────┘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│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</w:t>
            </w:r>
            <w:r>
              <w:rPr>
                <w:rStyle w:val="SourceText"/>
              </w:rPr>
              <w:t>OUI      NON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│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┌────────▼──┐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   </w:t>
            </w:r>
            <w:r>
              <w:rPr>
                <w:rStyle w:val="SourceText"/>
              </w:rPr>
              <w:t>N4     │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</w:t>
            </w:r>
            <w:r>
              <w:rPr>
                <w:rStyle w:val="SourceText"/>
              </w:rPr>
              <w:t>SENSIBLES │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│  ⚠️ </w:t>
            </w:r>
            <w:r>
              <w:rPr>
                <w:rStyle w:val="SourceText"/>
              </w:rPr>
              <w:t>MAX   │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└───────────┘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     │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┌────▼────┐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│   </w:t>
            </w:r>
            <w:r>
              <w:rPr>
                <w:rStyle w:val="SourceText"/>
              </w:rPr>
              <w:t xml:space="preserve">N3    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│</w:t>
            </w:r>
            <w:r>
              <w:rPr>
                <w:rStyle w:val="SourceText"/>
              </w:rPr>
              <w:t>STANDARD │</w:t>
            </w:r>
          </w:p>
          <w:p>
            <w:pPr>
              <w:pStyle w:val="PreformattedText"/>
              <w:widowControl w:val="false"/>
              <w:spacing w:before="240" w:after="283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Style w:val="SourceText"/>
              </w:rPr>
              <w:t xml:space="preserve">                            └─────────┘</w:t>
            </w:r>
          </w:p>
          <w:p>
            <w:pPr>
              <w:pStyle w:val="PreformattedText"/>
              <w:widowControl w:val="false"/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pPr>
            <w:r>
              <w:rPr>
                <w:rFonts w:cs="Times New Roman"/>
                <w:caps w:val="false"/>
                <w:smallCaps w:val="false"/>
                <w:sz w:val="32"/>
                <w:szCs w:val="32"/>
                <w:u w:val="single"/>
              </w:rPr>
            </w:r>
          </w:p>
        </w:tc>
      </w:tr>
    </w:tbl>
    <w:p>
      <w:pPr>
        <w:pStyle w:val="PreformattedText"/>
        <w:spacing w:before="240" w:after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Heading2"/>
        <w:ind w:left="0" w:hanging="0"/>
        <w:rPr/>
      </w:pPr>
      <w:bookmarkStart w:id="78" w:name="__RefHeading___Toc65768_2150708505"/>
      <w:bookmarkEnd w:id="78"/>
      <w:r>
        <w:rPr>
          <w:rStyle w:val="SourceText"/>
        </w:rPr>
        <w:t>Annexe B : Checklist mise en service données perso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**À utiliser lors de PROC-01 si serveur traite données personnelles**</w:t>
      </w:r>
    </w:p>
    <w:p>
      <w:pPr>
        <w:pStyle w:val="PreformattedText"/>
        <w:spacing w:before="240" w:after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PHASE PRÉPARATOIRE ☐ Classification données effectuée (N3 ou N4) ☐ Volume personnes estimé ☐ Finalité traitement documentée ☐ Base légale identifiée ☐ Durée conservation définie ☐ Nécessité AIPD évaluée ☐ Tableau DOC-REF-03 consulté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CONFIGURATION TECHNIQUE ☐ Type serveur conforme (Dedicated si N4) ☐ Datacenter UE (France) ☐ Baseline DOC-REF-01 appliquée 100% ☐ HTTPS activé et testé ☐ Chiffrement repos activé (si N4 ou recommandé) ☐ Chiffrement backup configuré (AES-256) ☐ Clé chiffrement dans Passbolt ☐ Logs accès activés ☐ Rétention logs ≥ 90j (180j si N4) ☐ Backup quotidien configuré ☐ Test restauration initial OK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CONTRÔLE D'ACCÈS ☐ Limitation accès respectée (5 max N3, 2-3 max N4) ☐ Liste nominative accès validée ☐ Formation APDP tous utilisateurs ☐ Attestations formation archivées ☐ Matrice accès mise à jour (DOC-OPS-02) ☐ Première revue planifiée (3 mois ou 1 mois)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DOCUMENTATION ☐ Serveur enregistré DOC-OPS-01 (onglet APDP) ☐ Traitement documenté DOC-CONF-01 (Registre) ☐ Lien serveur ↔ traitement établi ☐ AIPD réalisée si nécessaire (DOC-CONF-02) ☐ Fiche technique serveur créée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VALIDATION FINALE ☐ Checklist conformité §9.1 complétée (16/16) ☐ Test accès droits personnes (si applicable) ☐ Tests validation PROC-01 effectués ☐ Validation propriétaire métier ☐ Validation Responsable SI ☐ Si N4 : Validation Direction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MISE EN PRODUCTION ☐ Communication utilisateurs autorisés ☐ Rappel obligations APDP ☐ Procédure exercice droits communiquée ☐ Contact DPO/Responsable SI communiqué</w:t>
      </w:r>
    </w:p>
    <w:p>
      <w:pPr>
        <w:pStyle w:val="Heading2"/>
        <w:ind w:left="0" w:hanging="0"/>
        <w:rPr/>
      </w:pPr>
      <w:bookmarkStart w:id="79" w:name="__RefHeading___Toc65770_2150708505"/>
      <w:bookmarkEnd w:id="79"/>
      <w:r>
        <w:rPr>
          <w:rStyle w:val="SourceText"/>
        </w:rPr>
        <w:t>Annexe C : Template rapport audit APDP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RAPPORT AUDIT CONFORMITÉ APDP Date : [JJ/MM/AAAA] Auditeur : [Nom] Périmètre : [Tous serveurs / Serveur spécifique]</w:t>
      </w:r>
    </w:p>
    <w:p>
      <w:pPr>
        <w:pStyle w:val="TextBody"/>
        <w:numPr>
          <w:ilvl w:val="0"/>
          <w:numId w:val="9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SYNTHÈSE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Serveurs audités : X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Serveurs conformes : X (XX%)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Non-conformités critiques : X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Non-conformités mineures : X</w:t>
      </w:r>
    </w:p>
    <w:p>
      <w:pPr>
        <w:pStyle w:val="TextBody"/>
        <w:numPr>
          <w:ilvl w:val="0"/>
          <w:numId w:val="9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SERVEURS AUDITÉS</w:t>
      </w:r>
    </w:p>
    <w:p>
      <w:pPr>
        <w:pStyle w:val="TextBody"/>
        <w:numPr>
          <w:ilvl w:val="0"/>
          <w:numId w:val="0"/>
        </w:numPr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Serveur : srv-prod-crm-01 Type données : Données personnelles standard Conformité : ✅ 16/16</w:t>
      </w:r>
    </w:p>
    <w:p>
      <w:pPr>
        <w:pStyle w:val="TextBody"/>
        <w:numPr>
          <w:ilvl w:val="0"/>
          <w:numId w:val="0"/>
        </w:numPr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Serveur : srv-prod-rh-01 Type données : Données personnelles sensibles Conformité : ⚠️ 14/16 Non-conformités :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Logs rétention 90j (requis : 180j) - CRITIQUE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Test restauration &gt; 60j (requis : 30j) - MINEUR</w:t>
      </w:r>
    </w:p>
    <w:p>
      <w:pPr>
        <w:pStyle w:val="TextBody"/>
        <w:numPr>
          <w:ilvl w:val="0"/>
          <w:numId w:val="9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NON-CONFORMITÉS DÉTAILLÉES</w:t>
      </w:r>
    </w:p>
    <w:p>
      <w:pPr>
        <w:pStyle w:val="TextBody"/>
        <w:numPr>
          <w:ilvl w:val="0"/>
          <w:numId w:val="0"/>
        </w:numPr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NC-001 - CRITIQUE Serveur : srv-prod-rh-01 Problème : Logs rétention 90j au lieu de 180j Risque : Non-conformité APDP, impossibilité audit long terme Action : Modifier logrotate → 26 semaines Responsable : [Nom] Échéance : 7 jours</w:t>
      </w:r>
    </w:p>
    <w:p>
      <w:pPr>
        <w:pStyle w:val="TextBody"/>
        <w:numPr>
          <w:ilvl w:val="0"/>
          <w:numId w:val="0"/>
        </w:numPr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NC-002 - MINEUR Serveur : srv-prod-rh-01 Problème : Test restauration 62j (&gt; 30j requis) Risque : RTO/RPO non validés récemment Action : Test restauration immédiat Responsable : [Nom] Échéance : 3 jours</w:t>
      </w:r>
    </w:p>
    <w:p>
      <w:pPr>
        <w:pStyle w:val="TextBody"/>
        <w:numPr>
          <w:ilvl w:val="0"/>
          <w:numId w:val="9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BONNES PRATIQUES IDENTIFIÉES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Chiffrement backup AES-256 sur tous serveurs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Formation APDP 100% à jour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Matrice accès bien tenue</w:t>
      </w:r>
    </w:p>
    <w:p>
      <w:pPr>
        <w:pStyle w:val="TextBody"/>
        <w:numPr>
          <w:ilvl w:val="0"/>
          <w:numId w:val="9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RECOMMANDATIONS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Automatiser alertes revues accès (DOC-OPS-02)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Mettre en place monitoring rétention logs</w:t>
      </w:r>
    </w:p>
    <w:p>
      <w:pPr>
        <w:pStyle w:val="TextBody"/>
        <w:numPr>
          <w:ilvl w:val="1"/>
          <w:numId w:val="92"/>
        </w:numPr>
        <w:tabs>
          <w:tab w:val="clear" w:pos="708"/>
          <w:tab w:val="left" w:pos="0" w:leader="none"/>
        </w:tabs>
        <w:ind w:left="1418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Planifier tests restauration récurrents (calendrier)</w:t>
      </w:r>
    </w:p>
    <w:p>
      <w:pPr>
        <w:pStyle w:val="TextBody"/>
        <w:numPr>
          <w:ilvl w:val="0"/>
          <w:numId w:val="92"/>
        </w:numPr>
        <w:tabs>
          <w:tab w:val="clear" w:pos="708"/>
          <w:tab w:val="left" w:pos="0" w:leader="none"/>
        </w:tabs>
        <w:ind w:left="709" w:hanging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PROCHAINE RÉVISION Date prévue : [Dans 3 mois] Points d'attention : Vérifier corrections NC-001, NC-002</w:t>
      </w:r>
    </w:p>
    <w:p>
      <w:pPr>
        <w:pStyle w:val="TextBody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  <w:t>Signature Auditeur : ________________ Date : ______________</w:t>
      </w:r>
    </w:p>
    <w:p>
      <w:pPr>
        <w:pStyle w:val="Heading2"/>
        <w:ind w:left="0" w:hanging="0"/>
        <w:rPr/>
      </w:pPr>
      <w:bookmarkStart w:id="80" w:name="__RefHeading___Toc65772_2150708505"/>
      <w:bookmarkEnd w:id="80"/>
      <w:r>
        <w:rPr>
          <w:rStyle w:val="SourceText"/>
        </w:rPr>
        <w:t>Annexe D : Contacts et ressources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**APDP Bénin :**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Site web : https://apdp.bj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Email : contact@apdp.bj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Téléphone : [À vérifier sur site APDP]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Adresse : Cotonou, Bénin</w:t>
      </w:r>
      <w:r>
        <w:rPr>
          <w:rStyle w:val="SourceText"/>
          <w:rFonts w:ascii="Times New Roman" w:hAnsi="Times New Roman"/>
          <w:caps w:val="false"/>
          <w:smallCaps w:val="false"/>
          <w:sz w:val="32"/>
          <w:szCs w:val="32"/>
          <w:u w:val="single"/>
        </w:rPr>
        <w:t>Annexe D : Contacts et ressources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**Ressources utiles :**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Loi n°2017-20 : https://apdp.bj (section textes légaux)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Guide pratique APDP : [Si disponible sur site]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Formulaire notification violation : [Sur site APDP]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**Références internes :**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Responsable SI : [Votre Email]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DPO (si existe) : [Email]</w:t>
      </w:r>
    </w:p>
    <w:p>
      <w:pPr>
        <w:pStyle w:val="PreformattedText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Style w:val="SourceText"/>
        </w:rPr>
        <w:t>- Support technique : [Email]</w:t>
      </w:r>
    </w:p>
    <w:p>
      <w:pPr>
        <w:pStyle w:val="PreformattedText"/>
        <w:spacing w:before="240" w:after="283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>
          <w:rFonts w:cs="Times New Roman"/>
          <w:caps w:val="false"/>
          <w:smallCaps w:val="false"/>
          <w:sz w:val="32"/>
          <w:szCs w:val="32"/>
          <w:u w:val="single"/>
        </w:rPr>
      </w:r>
    </w:p>
    <w:p>
      <w:pPr>
        <w:pStyle w:val="Normal"/>
        <w:spacing w:before="240" w:after="96"/>
        <w:ind w:left="0" w:hanging="0"/>
        <w:rPr>
          <w:rFonts w:cs="Times New Roman"/>
          <w:caps w:val="false"/>
          <w:smallCaps w:val="false"/>
          <w:sz w:val="32"/>
          <w:szCs w:val="32"/>
          <w:u w:val="single"/>
        </w:rPr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240" w:after="0"/>
      <w:rPr/>
    </w:pPr>
    <w:r>
      <w:rPr/>
      <w:drawing>
        <wp:anchor behindDoc="1" distT="0" distB="0" distL="0" distR="0" simplePos="0" locked="0" layoutInCell="0" allowOverlap="1" relativeHeight="67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4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lineRule="auto" w:line="240" w:before="240" w:after="0"/>
      <w:rPr/>
    </w:pPr>
    <w:r>
      <w:rPr/>
      <w:drawing>
        <wp:anchor behindDoc="1" distT="0" distB="0" distL="0" distR="0" simplePos="0" locked="0" layoutInCell="0" allowOverlap="1" relativeHeight="34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3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2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3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4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5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6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7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89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90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91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9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  <w:color w:val="2DA333"/>
      </w:rPr>
    </w:lvl>
  </w:abstractNum>
  <w:abstractNum w:abstractNumId="9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2DA333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color w:val="2DA333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color w:val="2DA333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2DA333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color w:val="2DA333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color w:val="2DA333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2DA333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color w:val="2DA333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color w:val="2DA333"/>
      </w:rPr>
    </w:lvl>
  </w:abstractNum>
  <w:abstractNum w:abstractNumId="9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w="http://schemas.openxmlformats.org/wordprocessingml/2006/main">
  <w:zoom w:percent="84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240" w:after="240"/>
      <w:jc w:val="both"/>
    </w:pPr>
    <w:rPr>
      <w:rFonts w:ascii="Times New Roman" w:hAnsi="Times New Roman" w:eastAsia="Calibri" w:cs="DejaVu Sans"/>
      <w:color w:val="auto"/>
      <w:kern w:val="0"/>
      <w:sz w:val="24"/>
      <w:szCs w:val="32"/>
      <w:lang w:val="fr-FR" w:eastAsia="en-US" w:bidi="ar-SA"/>
    </w:rPr>
  </w:style>
  <w:style w:type="paragraph" w:styleId="Heading1">
    <w:name w:val="Heading 1"/>
    <w:basedOn w:val="Normal"/>
    <w:next w:val="Normal"/>
    <w:link w:val="Titre1Car"/>
    <w:qFormat/>
    <w:pPr>
      <w:keepNext w:val="true"/>
      <w:keepLines/>
      <w:numPr>
        <w:ilvl w:val="0"/>
        <w:numId w:val="0"/>
      </w:numPr>
      <w:outlineLvl w:val="0"/>
    </w:pPr>
    <w:rPr>
      <w:rFonts w:eastAsia="Calibri" w:cs="DejaVu Sans"/>
      <w:b/>
      <w:caps/>
      <w:color w:val="014276"/>
      <w:sz w:val="32"/>
      <w:u w:val="single"/>
    </w:rPr>
  </w:style>
  <w:style w:type="paragraph" w:styleId="Heading2">
    <w:name w:val="Heading 2"/>
    <w:basedOn w:val="Normal"/>
    <w:next w:val="Normal"/>
    <w:link w:val="Titre2Car"/>
    <w:qFormat/>
    <w:pPr>
      <w:keepNext w:val="true"/>
      <w:keepLines/>
      <w:numPr>
        <w:ilvl w:val="0"/>
        <w:numId w:val="0"/>
      </w:numPr>
      <w:outlineLvl w:val="1"/>
    </w:pPr>
    <w:rPr>
      <w:rFonts w:eastAsia="Calibri" w:cs="DejaVu Sans"/>
      <w:b/>
      <w:color w:val="0072CE"/>
      <w:sz w:val="28"/>
      <w:szCs w:val="26"/>
    </w:rPr>
  </w:style>
  <w:style w:type="paragraph" w:styleId="Heading3">
    <w:name w:val="Heading 3"/>
    <w:basedOn w:val="Normal"/>
    <w:next w:val="Normal"/>
    <w:link w:val="Titre3Car"/>
    <w:qFormat/>
    <w:pPr>
      <w:keepNext w:val="true"/>
      <w:keepLines/>
      <w:numPr>
        <w:ilvl w:val="0"/>
        <w:numId w:val="0"/>
      </w:numPr>
      <w:spacing w:before="40" w:after="0"/>
      <w:outlineLvl w:val="2"/>
    </w:pPr>
    <w:rPr>
      <w:rFonts w:eastAsia="Calibri" w:cs="DejaVu Sans"/>
      <w:b/>
      <w:color w:val="014276"/>
      <w:szCs w:val="24"/>
    </w:rPr>
  </w:style>
  <w:style w:type="paragraph" w:styleId="Heading4">
    <w:name w:val="Heading 4"/>
    <w:link w:val="Titre4Car"/>
    <w:qFormat/>
    <w:pPr>
      <w:widowControl/>
      <w:numPr>
        <w:ilvl w:val="0"/>
        <w:numId w:val="0"/>
      </w:numPr>
      <w:suppressAutoHyphens w:val="true"/>
      <w:overflowPunct w:val="false"/>
      <w:bidi w:val="0"/>
      <w:spacing w:lineRule="auto" w:line="240" w:before="0" w:after="0"/>
      <w:jc w:val="left"/>
      <w:outlineLvl w:val="3"/>
    </w:pPr>
    <w:rPr>
      <w:rFonts w:ascii="Arial" w:hAnsi="Arial" w:eastAsia="Arial" w:cs="Arial"/>
      <w:i/>
      <w:iCs/>
      <w:color w:val="2E74B5"/>
      <w:kern w:val="0"/>
      <w:sz w:val="22"/>
      <w:szCs w:val="22"/>
      <w:lang w:val="fr-FR" w:eastAsia="fr-FR" w:bidi="ar-SA"/>
    </w:rPr>
  </w:style>
  <w:style w:type="paragraph" w:styleId="Heading5">
    <w:name w:val="Heading 5"/>
    <w:link w:val="Titre5Car"/>
    <w:qFormat/>
    <w:pPr>
      <w:widowControl/>
      <w:numPr>
        <w:ilvl w:val="0"/>
        <w:numId w:val="0"/>
      </w:numPr>
      <w:suppressAutoHyphens w:val="true"/>
      <w:overflowPunct w:val="false"/>
      <w:bidi w:val="0"/>
      <w:spacing w:lineRule="auto" w:line="240" w:before="0" w:after="0"/>
      <w:jc w:val="left"/>
      <w:outlineLvl w:val="4"/>
    </w:pPr>
    <w:rPr>
      <w:rFonts w:ascii="Arial" w:hAnsi="Arial" w:eastAsia="Arial" w:cs="Arial"/>
      <w:color w:val="2E74B5"/>
      <w:kern w:val="0"/>
      <w:sz w:val="22"/>
      <w:szCs w:val="22"/>
      <w:lang w:val="fr-FR" w:eastAsia="fr-FR" w:bidi="ar-SA"/>
    </w:rPr>
  </w:style>
  <w:style w:type="paragraph" w:styleId="Heading6">
    <w:name w:val="Heading 6"/>
    <w:link w:val="Titre6Car"/>
    <w:qFormat/>
    <w:pPr>
      <w:widowControl/>
      <w:numPr>
        <w:ilvl w:val="0"/>
        <w:numId w:val="0"/>
      </w:numPr>
      <w:suppressAutoHyphens w:val="true"/>
      <w:overflowPunct w:val="false"/>
      <w:bidi w:val="0"/>
      <w:spacing w:lineRule="auto" w:line="240" w:before="0" w:after="0"/>
      <w:jc w:val="left"/>
      <w:outlineLvl w:val="5"/>
    </w:pPr>
    <w:rPr>
      <w:rFonts w:ascii="Arial" w:hAnsi="Arial" w:eastAsia="Arial" w:cs="Arial"/>
      <w:color w:val="1F4D78"/>
      <w:kern w:val="0"/>
      <w:sz w:val="22"/>
      <w:szCs w:val="22"/>
      <w:lang w:val="fr-FR" w:eastAsia="fr-FR" w:bidi="ar-SA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Titre1Car">
    <w:name w:val="Titre 1 Car"/>
    <w:basedOn w:val="DefaultParagraphFont"/>
    <w:link w:val="Heading1"/>
    <w:qFormat/>
    <w:rPr>
      <w:rFonts w:ascii="Times New Roman" w:hAnsi="Times New Roman" w:eastAsia="Calibri" w:cs="DejaVu Sans"/>
      <w:b/>
      <w:caps/>
      <w:color w:val="014276"/>
      <w:u w:val="single"/>
    </w:rPr>
  </w:style>
  <w:style w:type="character" w:styleId="Titre2Car">
    <w:name w:val="Titre 2 Car"/>
    <w:basedOn w:val="DefaultParagraphFont"/>
    <w:link w:val="Heading2"/>
    <w:qFormat/>
    <w:rPr>
      <w:rFonts w:ascii="Times New Roman" w:hAnsi="Times New Roman" w:eastAsia="Calibri" w:cs="DejaVu Sans"/>
      <w:b/>
      <w:color w:val="0072CE"/>
      <w:sz w:val="28"/>
      <w:szCs w:val="26"/>
    </w:rPr>
  </w:style>
  <w:style w:type="character" w:styleId="TitreCar">
    <w:name w:val="Titre Car"/>
    <w:basedOn w:val="DefaultParagraphFont"/>
    <w:link w:val="Title"/>
    <w:qFormat/>
    <w:rPr>
      <w:rFonts w:ascii="Times New Roman" w:hAnsi="Times New Roman" w:eastAsia="Calibri" w:cs="DejaVu Sans"/>
      <w:b/>
      <w:spacing w:val="-10"/>
      <w:kern w:val="2"/>
      <w:sz w:val="56"/>
      <w:szCs w:val="56"/>
      <w:u w:val="single"/>
    </w:rPr>
  </w:style>
  <w:style w:type="character" w:styleId="Titre3Car">
    <w:name w:val="Titre 3 Car"/>
    <w:basedOn w:val="DefaultParagraphFont"/>
    <w:link w:val="Heading3"/>
    <w:qFormat/>
    <w:rPr>
      <w:rFonts w:ascii="Times New Roman" w:hAnsi="Times New Roman" w:eastAsia="Calibri" w:cs="DejaVu Sans"/>
      <w:b/>
      <w:sz w:val="24"/>
      <w:szCs w:val="24"/>
    </w:rPr>
  </w:style>
  <w:style w:type="character" w:styleId="Titre4Car">
    <w:name w:val="Titre 4 Car"/>
    <w:basedOn w:val="DefaultParagraphFont"/>
    <w:link w:val="Heading4"/>
    <w:qFormat/>
    <w:rPr>
      <w:rFonts w:ascii="Arial" w:hAnsi="Arial" w:eastAsia="Arial" w:cs="Arial"/>
      <w:i/>
      <w:iCs/>
      <w:color w:val="2E74B5"/>
      <w:sz w:val="22"/>
      <w:szCs w:val="22"/>
      <w:lang w:eastAsia="fr-FR"/>
    </w:rPr>
  </w:style>
  <w:style w:type="character" w:styleId="Titre5Car">
    <w:name w:val="Titre 5 Car"/>
    <w:basedOn w:val="DefaultParagraphFont"/>
    <w:link w:val="Heading5"/>
    <w:qFormat/>
    <w:rPr>
      <w:rFonts w:ascii="Arial" w:hAnsi="Arial" w:eastAsia="Arial" w:cs="Arial"/>
      <w:color w:val="2E74B5"/>
      <w:sz w:val="22"/>
      <w:szCs w:val="22"/>
      <w:lang w:eastAsia="fr-FR"/>
    </w:rPr>
  </w:style>
  <w:style w:type="character" w:styleId="Titre6Car">
    <w:name w:val="Titre 6 Car"/>
    <w:basedOn w:val="DefaultParagraphFont"/>
    <w:link w:val="Heading6"/>
    <w:qFormat/>
    <w:rPr>
      <w:rFonts w:ascii="Arial" w:hAnsi="Arial" w:eastAsia="Arial" w:cs="Arial"/>
      <w:color w:val="1F4D78"/>
      <w:sz w:val="22"/>
      <w:szCs w:val="22"/>
      <w:lang w:eastAsia="fr-FR"/>
    </w:rPr>
  </w:style>
  <w:style w:type="character" w:styleId="InternetLink">
    <w:name w:val="Hyperlink"/>
    <w:rPr>
      <w:color w:val="0563C1"/>
      <w:u w:val="single"/>
    </w:rPr>
  </w:style>
  <w:style w:type="character" w:styleId="FootnoteCharacters">
    <w:name w:val="Footnote Characters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NotedebasdepageCar">
    <w:name w:val="Note de bas de page Car"/>
    <w:basedOn w:val="DefaultParagraphFont"/>
    <w:link w:val="Footnote"/>
    <w:qFormat/>
    <w:rPr>
      <w:rFonts w:ascii="Arial" w:hAnsi="Arial" w:eastAsia="Arial" w:cs="Arial"/>
      <w:sz w:val="20"/>
      <w:szCs w:val="20"/>
      <w:lang w:eastAsia="fr-FR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rongEmphasis">
    <w:name w:val="Strong Emphasis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  <w:color w:val="2DA333"/>
    </w:rPr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NumberingSymbols">
    <w:name w:val="Numbering Symbols"/>
    <w:qFormat/>
    <w:rPr/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24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240" w:after="0"/>
    </w:pPr>
    <w:rPr/>
  </w:style>
  <w:style w:type="paragraph" w:styleId="Title">
    <w:name w:val="Title"/>
    <w:basedOn w:val="Normal"/>
    <w:next w:val="Normal"/>
    <w:link w:val="TitreCar"/>
    <w:qFormat/>
    <w:pPr>
      <w:spacing w:lineRule="auto" w:line="240" w:before="240" w:after="0"/>
      <w:contextualSpacing/>
      <w:jc w:val="center"/>
    </w:pPr>
    <w:rPr>
      <w:rFonts w:eastAsia="Calibri" w:cs="DejaVu Sans"/>
      <w:b/>
      <w:spacing w:val="-10"/>
      <w:kern w:val="2"/>
      <w:sz w:val="56"/>
      <w:szCs w:val="56"/>
      <w:u w:val="single"/>
    </w:rPr>
  </w:style>
  <w:style w:type="paragraph" w:styleId="Lev1">
    <w:name w:val="Élevé1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Arial" w:hAnsi="Arial" w:eastAsia="Arial" w:cs="Arial"/>
      <w:b/>
      <w:bCs/>
      <w:color w:val="auto"/>
      <w:kern w:val="0"/>
      <w:sz w:val="22"/>
      <w:szCs w:val="22"/>
      <w:lang w:val="fr-FR" w:eastAsia="fr-FR" w:bidi="ar-SA"/>
    </w:rPr>
  </w:style>
  <w:style w:type="paragraph" w:styleId="ListParagraph">
    <w:name w:val="List Paragraph"/>
    <w:qFormat/>
    <w:pPr>
      <w:widowControl/>
      <w:suppressAutoHyphens w:val="true"/>
      <w:overflowPunct w:val="false"/>
      <w:bidi w:val="0"/>
      <w:spacing w:lineRule="auto" w:line="240" w:before="120" w:after="240"/>
      <w:jc w:val="both"/>
    </w:pPr>
    <w:rPr>
      <w:rFonts w:ascii="Times New Roman" w:hAnsi="Times New Roman" w:eastAsia="Arial" w:cs="Arial"/>
      <w:color w:val="auto"/>
      <w:kern w:val="0"/>
      <w:sz w:val="24"/>
      <w:szCs w:val="22"/>
      <w:lang w:val="fr-FR" w:eastAsia="fr-FR" w:bidi="ar-SA"/>
    </w:rPr>
  </w:style>
  <w:style w:type="paragraph" w:styleId="Footnote">
    <w:name w:val="Footnote Text"/>
    <w:link w:val="NotedebasdepageCar"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fr-FR" w:eastAsia="fr-FR" w:bidi="ar-SA"/>
    </w:rPr>
  </w:style>
  <w:style w:type="paragraph" w:styleId="Contents1">
    <w:name w:val="TOC 1"/>
    <w:basedOn w:val="Normal"/>
    <w:next w:val="Normal"/>
    <w:autoRedefine/>
    <w:pPr>
      <w:tabs>
        <w:tab w:val="clear" w:pos="708"/>
        <w:tab w:val="right" w:pos="9376" w:leader="dot"/>
      </w:tabs>
      <w:spacing w:lineRule="auto" w:line="240" w:before="240" w:after="100"/>
    </w:pPr>
    <w:rPr>
      <w:rFonts w:eastAsia="Arial" w:cs="Arial"/>
      <w:szCs w:val="22"/>
      <w:lang w:eastAsia="fr-FR"/>
    </w:rPr>
  </w:style>
  <w:style w:type="paragraph" w:styleId="Contents2">
    <w:name w:val="TOC 2"/>
    <w:basedOn w:val="Normal"/>
    <w:next w:val="Normal"/>
    <w:autoRedefine/>
    <w:pPr>
      <w:tabs>
        <w:tab w:val="clear" w:pos="708"/>
        <w:tab w:val="right" w:pos="9062" w:leader="dot"/>
      </w:tabs>
      <w:spacing w:lineRule="auto" w:line="240" w:before="240" w:after="100"/>
      <w:ind w:left="220" w:right="0" w:hanging="0"/>
    </w:pPr>
    <w:rPr>
      <w:rFonts w:eastAsia="Arial" w:cs="Arial"/>
      <w:szCs w:val="22"/>
      <w:lang w:eastAsia="fr-FR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lineRule="auto" w:line="240" w:before="0" w:after="0"/>
      <w:jc w:val="both"/>
    </w:pPr>
    <w:rPr>
      <w:rFonts w:ascii="Times New Roman" w:hAnsi="Times New Roman" w:eastAsia="Arial" w:cs="Arial"/>
      <w:color w:val="auto"/>
      <w:kern w:val="0"/>
      <w:sz w:val="24"/>
      <w:szCs w:val="22"/>
      <w:lang w:val="fr-FR" w:eastAsia="fr-FR" w:bidi="ar-SA"/>
    </w:rPr>
  </w:style>
  <w:style w:type="paragraph" w:styleId="IndexHeading">
    <w:name w:val="Index Heading"/>
    <w:basedOn w:val="Heading"/>
    <w:pPr/>
    <w:rPr/>
  </w:style>
  <w:style w:type="paragraph" w:styleId="ContentsHeading">
    <w:name w:val="TOC Heading"/>
    <w:basedOn w:val="Heading1"/>
    <w:next w:val="Normal"/>
    <w:pPr>
      <w:spacing w:lineRule="auto" w:line="259" w:before="240" w:after="0"/>
      <w:jc w:val="left"/>
      <w:outlineLvl w:val="9"/>
    </w:pPr>
    <w:rPr>
      <w:rFonts w:ascii="Calibri Light" w:hAnsi="Calibri Light"/>
      <w:b w:val="false"/>
      <w:caps w:val="false"/>
      <w:smallCaps w:val="false"/>
      <w:color w:val="2F5496"/>
      <w:u w:val="none"/>
      <w:lang w:eastAsia="fr-FR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PreformattedText">
    <w:name w:val="Preformatted Text"/>
    <w:basedOn w:val="Normal"/>
    <w:qFormat/>
    <w:pPr>
      <w:spacing w:before="24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Contents3">
    <w:name w:val="TOC 3"/>
    <w:basedOn w:val="Index"/>
    <w:pPr>
      <w:tabs>
        <w:tab w:val="clear" w:pos="708"/>
        <w:tab w:val="right" w:pos="8505" w:leader="dot"/>
      </w:tabs>
      <w:ind w:left="567" w:right="0" w:hanging="0"/>
    </w:pPr>
    <w:rPr/>
  </w:style>
  <w:style w:type="paragraph" w:styleId="Contents4">
    <w:name w:val="TOC 4"/>
    <w:basedOn w:val="Index"/>
    <w:pPr>
      <w:tabs>
        <w:tab w:val="clear" w:pos="708"/>
        <w:tab w:val="right" w:pos="8222" w:leader="dot"/>
      </w:tabs>
      <w:ind w:left="850" w:right="0" w:hanging="0"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24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tact@apdp.bj" TargetMode="External"/><Relationship Id="rId3" Type="http://schemas.openxmlformats.org/officeDocument/2006/relationships/hyperlink" Target="https://apdp.bj/" TargetMode="External"/><Relationship Id="rId4" Type="http://schemas.openxmlformats.org/officeDocument/2006/relationships/hyperlink" Target="mailto:contact@apdp.bj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Application>LibreOffice/7.3.7.2$Linux_X86_64 LibreOffice_project/30$Build-2</Application>
  <AppVersion>15.0000</AppVersion>
  <Pages>33</Pages>
  <Words>4526</Words>
  <Characters>25774</Characters>
  <CharactersWithSpaces>30228</CharactersWithSpaces>
  <Paragraphs>850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2026-04-09T16:30:20Z</dcterms:modified>
  <cp:revision>44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