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Heading1"/>
        <w:rPr/>
      </w:pPr>
      <w:r>
        <w:rPr/>
        <w:t>1. Identification du responsable de traitement</w:t>
      </w:r>
    </w:p>
    <w:tbl>
      <w:tblPr>
        <w:tblW w:w="10360" w:type="dxa"/>
        <w:jc w:val="left"/>
        <w:tblInd w:w="0" w:type="dxa"/>
        <w:tblLayout w:type="fixed"/>
        <w:tblCellMar>
          <w:top w:w="90" w:type="dxa"/>
          <w:left w:w="150" w:type="dxa"/>
          <w:bottom w:w="90" w:type="dxa"/>
          <w:right w:w="150" w:type="dxa"/>
        </w:tblCellMar>
      </w:tblPr>
      <w:tblGrid>
        <w:gridCol w:w="3600"/>
        <w:gridCol w:w="6759"/>
      </w:tblGrid>
      <w:tr>
        <w:trPr>
          <w:tblHeader w:val="true"/>
        </w:trPr>
        <w:tc>
          <w:tcPr>
            <w:tcW w:w="360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Champ</w:t>
            </w:r>
          </w:p>
        </w:tc>
        <w:tc>
          <w:tcPr>
            <w:tcW w:w="6759"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Information</w:t>
            </w:r>
          </w:p>
        </w:tc>
      </w:tr>
      <w:tr>
        <w:trPr/>
        <w:tc>
          <w:tcPr>
            <w:tcW w:w="36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Dénomination sociale</w:t>
            </w:r>
          </w:p>
        </w:tc>
        <w:tc>
          <w:tcPr>
            <w:tcW w:w="675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NetByUs</w:t>
            </w:r>
          </w:p>
        </w:tc>
      </w:tr>
      <w:tr>
        <w:trPr/>
        <w:tc>
          <w:tcPr>
            <w:tcW w:w="36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Qualité</w:t>
            </w:r>
          </w:p>
        </w:tc>
        <w:tc>
          <w:tcPr>
            <w:tcW w:w="675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Responsable de traitement au sens de l’APDP</w:t>
            </w:r>
          </w:p>
        </w:tc>
      </w:tr>
      <w:tr>
        <w:trPr/>
        <w:tc>
          <w:tcPr>
            <w:tcW w:w="36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Siège social</w:t>
            </w:r>
          </w:p>
        </w:tc>
        <w:tc>
          <w:tcPr>
            <w:tcW w:w="675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Cotonou, Bénin</w:t>
            </w:r>
          </w:p>
        </w:tc>
      </w:tr>
      <w:tr>
        <w:trPr/>
        <w:tc>
          <w:tcPr>
            <w:tcW w:w="36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Implantations</w:t>
            </w:r>
          </w:p>
        </w:tc>
        <w:tc>
          <w:tcPr>
            <w:tcW w:w="675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Bénin, Togo, France, Madagascar</w:t>
            </w:r>
          </w:p>
        </w:tc>
      </w:tr>
      <w:tr>
        <w:trPr/>
        <w:tc>
          <w:tcPr>
            <w:tcW w:w="36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Site web concerné</w:t>
            </w:r>
          </w:p>
        </w:tc>
        <w:tc>
          <w:tcPr>
            <w:tcW w:w="675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https://www.netbyus.com</w:t>
            </w:r>
          </w:p>
        </w:tc>
      </w:tr>
      <w:tr>
        <w:trPr/>
        <w:tc>
          <w:tcPr>
            <w:tcW w:w="36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Contact DPO / Référent données</w:t>
            </w:r>
          </w:p>
        </w:tc>
        <w:tc>
          <w:tcPr>
            <w:tcW w:w="675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privacy@netbyus.com</w:t>
            </w:r>
          </w:p>
        </w:tc>
      </w:tr>
    </w:tbl>
    <w:p>
      <w:pPr>
        <w:pStyle w:val="Normal"/>
        <w:rPr/>
      </w:pPr>
      <w:r>
        <w:rPr/>
      </w:r>
    </w:p>
    <w:p>
      <w:pPr>
        <w:pStyle w:val="Heading1"/>
        <w:rPr/>
      </w:pPr>
      <w:r>
        <w:rPr/>
        <w:t>2. Objet du document</w:t>
      </w:r>
    </w:p>
    <w:p>
      <w:pPr>
        <w:pStyle w:val="Normal"/>
        <w:rPr/>
      </w:pPr>
      <w:r>
        <w:rPr/>
        <w:t>Le présent document décrit les mesures techniques et organisationnelles mises en œuvre par NetByUs pour assurer un niveau de sécurité adapté au risque dans le cadre du traitement de données à caractère personnel effectué via le site www.netbyus.com, conformément à l'APDP.</w:t>
      </w:r>
    </w:p>
    <w:p>
      <w:pPr>
        <w:pStyle w:val="Normal"/>
        <w:rPr/>
      </w:pPr>
      <w:r>
        <w:rPr/>
      </w:r>
    </w:p>
    <w:p>
      <w:pPr>
        <w:pStyle w:val="Normal"/>
        <w:rPr/>
      </w:pPr>
      <w:r>
        <w:rPr/>
        <w:t>Ces mesures tiennent compte de l'état des connaissances, des coûts de mise en œuvre, de la nature, de la portée, du contexte et des finalités du traitement, ainsi que des risques pour les droits et libertés des personnes physiques.</w:t>
      </w:r>
    </w:p>
    <w:p>
      <w:pPr>
        <w:pStyle w:val="Normal"/>
        <w:rPr/>
      </w:pPr>
      <w:r>
        <w:rPr/>
      </w:r>
    </w:p>
    <w:p>
      <w:pPr>
        <w:pStyle w:val="Heading1"/>
        <w:rPr/>
      </w:pPr>
      <w:r>
        <w:rPr/>
        <w:t>3. Nature des traitements concernés</w:t>
      </w:r>
    </w:p>
    <w:p>
      <w:pPr>
        <w:pStyle w:val="Normal"/>
        <w:rPr/>
      </w:pPr>
      <w:r>
        <w:rPr/>
        <w:t>Le site www.netbyus.com collecte des données à caractère personnel dans le cadre des opérations suivantes :</w:t>
      </w:r>
    </w:p>
    <w:p>
      <w:pPr>
        <w:pStyle w:val="ListParagraph"/>
        <w:numPr>
          <w:ilvl w:val="0"/>
          <w:numId w:val="3"/>
        </w:numPr>
        <w:rPr/>
      </w:pPr>
      <w:r>
        <w:rPr/>
        <w:t>Formulaires de contact : nom, adresse e-mail, message.</w:t>
      </w:r>
    </w:p>
    <w:p>
      <w:pPr>
        <w:pStyle w:val="ListParagraph"/>
        <w:numPr>
          <w:ilvl w:val="0"/>
          <w:numId w:val="1"/>
        </w:numPr>
        <w:rPr/>
      </w:pPr>
      <w:r>
        <w:rPr/>
        <w:t>Formulaires de partenariat et de distribution : nom, société, e-mail, message, produits d'intérêt.</w:t>
      </w:r>
    </w:p>
    <w:p>
      <w:pPr>
        <w:pStyle w:val="ListParagraph"/>
        <w:numPr>
          <w:ilvl w:val="0"/>
          <w:numId w:val="1"/>
        </w:numPr>
        <w:rPr/>
      </w:pPr>
      <w:r>
        <w:rPr/>
        <w:t>Inscription à la newsletter : adresse e-mail.</w:t>
      </w:r>
    </w:p>
    <w:p>
      <w:pPr>
        <w:pStyle w:val="ListParagraph"/>
        <w:numPr>
          <w:ilvl w:val="0"/>
          <w:numId w:val="1"/>
        </w:numPr>
        <w:rPr/>
      </w:pPr>
      <w:r>
        <w:rPr/>
        <w:t>Navigation et mesure d'audience : données de connexion anonymisées via cookies analytiques (sous réserve de consentement).</w:t>
      </w:r>
    </w:p>
    <w:p>
      <w:pPr>
        <w:pStyle w:val="Normal"/>
        <w:rPr/>
      </w:pPr>
      <w:r>
        <w:rPr/>
      </w:r>
    </w:p>
    <w:p>
      <w:pPr>
        <w:pStyle w:val="Normal"/>
        <w:rPr/>
      </w:pPr>
      <w:r>
        <w:rPr/>
        <w:t>Ces traitements ne portent pas sur des données sensibles au sens de l'APDP. Le niveau de risque résiduel est qualifié de modéré, ce qui justifie l'application des mesures décrites ci-après.</w:t>
      </w:r>
    </w:p>
    <w:p>
      <w:pPr>
        <w:pStyle w:val="Normal"/>
        <w:rPr/>
      </w:pPr>
      <w:r>
        <w:rPr/>
      </w:r>
    </w:p>
    <w:p>
      <w:pPr>
        <w:pStyle w:val="Heading1"/>
        <w:rPr/>
      </w:pPr>
      <w:r>
        <w:rPr/>
        <w:t>4. Mesures techniques mises en œuvre</w:t>
      </w:r>
    </w:p>
    <w:p>
      <w:pPr>
        <w:pStyle w:val="Normal"/>
        <w:rPr/>
      </w:pPr>
      <w:r>
        <w:rPr/>
      </w:r>
    </w:p>
    <w:tbl>
      <w:tblPr>
        <w:tblW w:w="10360" w:type="dxa"/>
        <w:jc w:val="left"/>
        <w:tblInd w:w="0" w:type="dxa"/>
        <w:tblLayout w:type="fixed"/>
        <w:tblCellMar>
          <w:top w:w="90" w:type="dxa"/>
          <w:left w:w="150" w:type="dxa"/>
          <w:bottom w:w="90" w:type="dxa"/>
          <w:right w:w="150" w:type="dxa"/>
        </w:tblCellMar>
      </w:tblPr>
      <w:tblGrid>
        <w:gridCol w:w="2400"/>
        <w:gridCol w:w="7960"/>
      </w:tblGrid>
      <w:tr>
        <w:trPr>
          <w:tblHeader w:val="true"/>
        </w:trPr>
        <w:tc>
          <w:tcPr>
            <w:tcW w:w="240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Domaine</w:t>
            </w:r>
          </w:p>
        </w:tc>
        <w:tc>
          <w:tcPr>
            <w:tcW w:w="796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Mesures mises en œuvre</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Chiffrement des communications</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L'ensemble du site est servi exclusivement via le protocole HTTPS. Un certificat TLS valide est en place, assurant le chiffrement des données en transit entre le navigateur de l'utilisateur et le serveur web. La redirection automatique des requêtes HTTP vers HTTPS est active.</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Protection des formulaires</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Tous les formulaires de collecte de données (contact, partenariat, distribution) sont protégés par Google reCAPTCHA, prévenant les soumissions automatisées malveillantes (bots, spam). Une validation des données saisies est effectuée avant traitement.</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Sécurité des échanges avec les tiers</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Les ressources et scripts tiers sont chargés exclusivement via des connexions HTTPS sécurisées.</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Sécurité de l'hébergement</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Le site est hébergé chez un prestataire professionnel disposant de mesures de sécurité physiques et logiques adaptées (contrôle d'accès, surveillance, continuité de service). Des sauvegardes régulières des données sont effectuées.</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Contrôle des accès internes</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L'accès aux outils d'administration du site est restreint aux seules personnes habilitées, selon le principe du moindre privilège. Des mécanismes d'authentification sont en place pour l'ensemble des accès administrateurs.</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Minimisation des données</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Seules les données strictement nécessaires aux finalités poursuivies sont collectées. Les formulaires ne comportent que les champs indispensables au traitement de la demande.</w:t>
            </w:r>
          </w:p>
        </w:tc>
      </w:tr>
    </w:tbl>
    <w:p>
      <w:pPr>
        <w:pStyle w:val="Normal"/>
        <w:rPr/>
      </w:pPr>
      <w:r>
        <w:rPr/>
      </w:r>
    </w:p>
    <w:p>
      <w:pPr>
        <w:pStyle w:val="Heading1"/>
        <w:rPr/>
      </w:pPr>
      <w:r>
        <w:rPr/>
        <w:t>5. Mesures organisationnelles mises en œuvre</w:t>
      </w:r>
    </w:p>
    <w:p>
      <w:pPr>
        <w:pStyle w:val="Normal"/>
        <w:rPr/>
      </w:pPr>
      <w:r>
        <w:rPr/>
      </w:r>
    </w:p>
    <w:tbl>
      <w:tblPr>
        <w:tblW w:w="10360" w:type="dxa"/>
        <w:jc w:val="left"/>
        <w:tblInd w:w="0" w:type="dxa"/>
        <w:tblLayout w:type="fixed"/>
        <w:tblCellMar>
          <w:top w:w="90" w:type="dxa"/>
          <w:left w:w="150" w:type="dxa"/>
          <w:bottom w:w="90" w:type="dxa"/>
          <w:right w:w="150" w:type="dxa"/>
        </w:tblCellMar>
      </w:tblPr>
      <w:tblGrid>
        <w:gridCol w:w="2400"/>
        <w:gridCol w:w="7960"/>
      </w:tblGrid>
      <w:tr>
        <w:trPr>
          <w:tblHeader w:val="true"/>
        </w:trPr>
        <w:tc>
          <w:tcPr>
            <w:tcW w:w="240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Domaine</w:t>
            </w:r>
          </w:p>
        </w:tc>
        <w:tc>
          <w:tcPr>
            <w:tcW w:w="796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Mesures mises en œuvre</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Information et consentement</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Une mention de confidentialité est affichée sur chaque formulaire, informant l'utilisateur que ses données ne seront jamais collectées sans son consentement explicite. Un mécanisme de recueil du consentement conforme aux lignes directrices APDP est en cours de déploiement pour les cookies non essentiels.</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Durées de conservation</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Les données collectées via les formulaires sont conservées pour la durée strictement nécessaire au traitement des demandes. Les données issues des cookies analytiques sont conservées au maximum 25 mois. Les préférences de consentement cookies sont conservées 13 mois.</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Gestion des droits des personnes</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Une adresse de contact dédiée (privacy@netbyus.com) est mise à disposition pour permettre l'exercice des droits d'accès, rectification, effacement, opposition et portabilité. Les demandes sont traitées dans les délais légaux (1 mois, prorogeable à 3 mois).</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Encadrement des sous-traitants</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Les prestataires traitant des données pour le compte de NetByUs (hébergeur, outils analytiques) sont liés par des accords de traitement de données conformes à l’APDP, leur imposant des obligations de sécurité équivalentes.</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Sensibilisation interne</w:t>
            </w:r>
          </w:p>
        </w:tc>
        <w:tc>
          <w:tcPr>
            <w:tcW w:w="79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Les membres de l'équipe amenés à manipuler des données à caractère personnel sont sensibilisés aux obligations issues de l’APDP et aux bonnes pratiques de sécurité informatique.</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Registre des traitements</w:t>
            </w:r>
          </w:p>
        </w:tc>
        <w:tc>
          <w:tcPr>
            <w:tcW w:w="79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NetByUs tient à jour un registre des activités de traitement, documentant les finalités, catégories de données, destinataires et durées de conservation pour l'ensemble des traitements effectués.</w:t>
            </w:r>
          </w:p>
        </w:tc>
      </w:tr>
    </w:tbl>
    <w:p>
      <w:pPr>
        <w:pStyle w:val="Normal"/>
        <w:rPr/>
      </w:pPr>
      <w:r>
        <w:rPr/>
      </w:r>
    </w:p>
    <w:p>
      <w:pPr>
        <w:pStyle w:val="Heading1"/>
        <w:rPr/>
      </w:pPr>
      <w:r>
        <w:rPr/>
        <w:t>6. Gestion des violations de données</w:t>
      </w:r>
    </w:p>
    <w:p>
      <w:pPr>
        <w:pStyle w:val="Normal"/>
        <w:rPr/>
      </w:pPr>
      <w:r>
        <w:rPr/>
        <w:t>NetByUs s'engage à respecter les obligations de notification en cas de violation de données à caractère personnel, conformément aux articles de l’APDP :</w:t>
      </w:r>
    </w:p>
    <w:p>
      <w:pPr>
        <w:pStyle w:val="Normal"/>
        <w:rPr/>
      </w:pPr>
      <w:r>
        <w:rPr/>
      </w:r>
    </w:p>
    <w:tbl>
      <w:tblPr>
        <w:tblW w:w="10360" w:type="dxa"/>
        <w:jc w:val="left"/>
        <w:tblInd w:w="0" w:type="dxa"/>
        <w:tblLayout w:type="fixed"/>
        <w:tblCellMar>
          <w:top w:w="90" w:type="dxa"/>
          <w:left w:w="150" w:type="dxa"/>
          <w:bottom w:w="90" w:type="dxa"/>
          <w:right w:w="150" w:type="dxa"/>
        </w:tblCellMar>
      </w:tblPr>
      <w:tblGrid>
        <w:gridCol w:w="5760"/>
        <w:gridCol w:w="4599"/>
      </w:tblGrid>
      <w:tr>
        <w:trPr>
          <w:tblHeader w:val="true"/>
        </w:trPr>
        <w:tc>
          <w:tcPr>
            <w:tcW w:w="576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Engagement / Obligation</w:t>
            </w:r>
          </w:p>
        </w:tc>
        <w:tc>
          <w:tcPr>
            <w:tcW w:w="4599"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Modalité de respect</w:t>
            </w:r>
          </w:p>
        </w:tc>
      </w:tr>
      <w:tr>
        <w:trPr/>
        <w:tc>
          <w:tcPr>
            <w:tcW w:w="57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Notification à l'autorité de contrôle dans un délai de 72 heures</w:t>
            </w:r>
          </w:p>
        </w:tc>
        <w:tc>
          <w:tcPr>
            <w:tcW w:w="459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Une procédure interne de détection, qualification et escalade des incidents de sécurité est en cours de formalisation. En cas de violation avérée, la notification à la APDP sera effectuée dans le délai réglementaire de 72 heures.</w:t>
            </w:r>
          </w:p>
        </w:tc>
      </w:tr>
      <w:tr>
        <w:trPr/>
        <w:tc>
          <w:tcPr>
            <w:tcW w:w="576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Notification aux personnes concernées en cas de risque élevé</w:t>
            </w:r>
          </w:p>
        </w:tc>
        <w:tc>
          <w:tcPr>
            <w:tcW w:w="45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En cas de violation susceptible d'engendrer un risque élevé pour les droits et libertés des personnes, ces dernières seront informées dans les meilleurs délais par voie électronique.</w:t>
            </w:r>
          </w:p>
        </w:tc>
      </w:tr>
      <w:tr>
        <w:trPr/>
        <w:tc>
          <w:tcPr>
            <w:tcW w:w="576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Documentation des violations</w:t>
            </w:r>
          </w:p>
        </w:tc>
        <w:tc>
          <w:tcPr>
            <w:tcW w:w="459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Toute violation de données, qu'elle fasse l'objet d'une notification ou non, est documentée dans un registre interne des incidents, conformément à l'obligation de documentation.</w:t>
            </w:r>
          </w:p>
        </w:tc>
      </w:tr>
    </w:tbl>
    <w:p>
      <w:pPr>
        <w:pStyle w:val="Normal"/>
        <w:rPr/>
      </w:pPr>
      <w:r>
        <w:rPr/>
      </w:r>
    </w:p>
    <w:p>
      <w:pPr>
        <w:pStyle w:val="Heading1"/>
        <w:rPr/>
      </w:pPr>
      <w:r>
        <w:rPr/>
        <w:t>7. Sous-traitants et transferts de données</w:t>
      </w:r>
    </w:p>
    <w:p>
      <w:pPr>
        <w:pStyle w:val="Normal"/>
        <w:rPr/>
      </w:pPr>
      <w:r>
        <w:rPr/>
        <w:t>Le tableau ci-dessous recense les principaux prestataires agissant en qualité de sous-traitants ou de responsables de traitement indépendants, ainsi que les garanties encadrant les transferts éventuels hors Espace Économique Européen (EEE) :</w:t>
      </w:r>
    </w:p>
    <w:p>
      <w:pPr>
        <w:pStyle w:val="Normal"/>
        <w:rPr/>
      </w:pPr>
      <w:r>
        <w:rPr/>
      </w:r>
    </w:p>
    <w:tbl>
      <w:tblPr>
        <w:tblW w:w="10360" w:type="dxa"/>
        <w:jc w:val="left"/>
        <w:tblInd w:w="0" w:type="dxa"/>
        <w:tblLayout w:type="fixed"/>
        <w:tblCellMar>
          <w:top w:w="90" w:type="dxa"/>
          <w:left w:w="150" w:type="dxa"/>
          <w:bottom w:w="90" w:type="dxa"/>
          <w:right w:w="150" w:type="dxa"/>
        </w:tblCellMar>
      </w:tblPr>
      <w:tblGrid>
        <w:gridCol w:w="2400"/>
        <w:gridCol w:w="2599"/>
        <w:gridCol w:w="1601"/>
        <w:gridCol w:w="3759"/>
      </w:tblGrid>
      <w:tr>
        <w:trPr>
          <w:tblHeader w:val="true"/>
        </w:trPr>
        <w:tc>
          <w:tcPr>
            <w:tcW w:w="2400"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Prestataire</w:t>
            </w:r>
          </w:p>
        </w:tc>
        <w:tc>
          <w:tcPr>
            <w:tcW w:w="2599"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Rôle</w:t>
            </w:r>
          </w:p>
        </w:tc>
        <w:tc>
          <w:tcPr>
            <w:tcW w:w="1601"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Pays</w:t>
            </w:r>
          </w:p>
        </w:tc>
        <w:tc>
          <w:tcPr>
            <w:tcW w:w="3759" w:type="dxa"/>
            <w:tcBorders>
              <w:top w:val="single" w:sz="2" w:space="0" w:color="CCCCCC"/>
              <w:left w:val="single" w:sz="2" w:space="0" w:color="CCCCCC"/>
              <w:bottom w:val="single" w:sz="2" w:space="0" w:color="CCCCCC"/>
              <w:right w:val="single" w:sz="2" w:space="0" w:color="CCCCCC"/>
            </w:tcBorders>
            <w:shd w:fill="1A3C6E" w:val="clear"/>
            <w:vAlign w:val="center"/>
          </w:tcPr>
          <w:p>
            <w:pPr>
              <w:pStyle w:val="Normal"/>
              <w:rPr/>
            </w:pPr>
            <w:r>
              <w:rPr/>
              <w:t>Garanties de transfert</w:t>
            </w:r>
          </w:p>
        </w:tc>
      </w:tr>
      <w:tr>
        <w:trPr/>
        <w:tc>
          <w:tcPr>
            <w:tcW w:w="2400"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Google LLC</w:t>
            </w:r>
          </w:p>
        </w:tc>
        <w:tc>
          <w:tcPr>
            <w:tcW w:w="259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Sous-traitant (reCAPTCHA)</w:t>
            </w:r>
          </w:p>
        </w:tc>
        <w:tc>
          <w:tcPr>
            <w:tcW w:w="1601"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États-Unis</w:t>
            </w:r>
          </w:p>
        </w:tc>
        <w:tc>
          <w:tcPr>
            <w:tcW w:w="3759" w:type="dxa"/>
            <w:tcBorders>
              <w:top w:val="single" w:sz="2" w:space="0" w:color="CCCCCC"/>
              <w:left w:val="single" w:sz="2" w:space="0" w:color="CCCCCC"/>
              <w:bottom w:val="single" w:sz="2" w:space="0" w:color="CCCCCC"/>
              <w:right w:val="single" w:sz="2" w:space="0" w:color="CCCCCC"/>
            </w:tcBorders>
            <w:shd w:fill="F4F8FD" w:val="clear"/>
            <w:vAlign w:val="center"/>
          </w:tcPr>
          <w:p>
            <w:pPr>
              <w:pStyle w:val="Normal"/>
              <w:rPr/>
            </w:pPr>
            <w:r>
              <w:rPr/>
              <w:t>CCT + Data Privacy Framework (DPF)</w:t>
            </w:r>
          </w:p>
        </w:tc>
      </w:tr>
      <w:tr>
        <w:trPr/>
        <w:tc>
          <w:tcPr>
            <w:tcW w:w="2400"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Prestataire hébergeur</w:t>
            </w:r>
          </w:p>
        </w:tc>
        <w:tc>
          <w:tcPr>
            <w:tcW w:w="259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Sous-traitant principal</w:t>
            </w:r>
          </w:p>
        </w:tc>
        <w:tc>
          <w:tcPr>
            <w:tcW w:w="1601"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À préciser</w:t>
            </w:r>
          </w:p>
        </w:tc>
        <w:tc>
          <w:tcPr>
            <w:tcW w:w="3759" w:type="dxa"/>
            <w:tcBorders>
              <w:top w:val="single" w:sz="2" w:space="0" w:color="CCCCCC"/>
              <w:left w:val="single" w:sz="2" w:space="0" w:color="CCCCCC"/>
              <w:bottom w:val="single" w:sz="2" w:space="0" w:color="CCCCCC"/>
              <w:right w:val="single" w:sz="2" w:space="0" w:color="CCCCCC"/>
            </w:tcBorders>
            <w:shd w:fill="FFFFFF" w:val="clear"/>
            <w:vAlign w:val="center"/>
          </w:tcPr>
          <w:p>
            <w:pPr>
              <w:pStyle w:val="Normal"/>
              <w:rPr/>
            </w:pPr>
            <w:r>
              <w:rPr/>
              <w:t>Accord de traitement</w:t>
            </w:r>
          </w:p>
        </w:tc>
      </w:tr>
    </w:tbl>
    <w:p>
      <w:pPr>
        <w:pStyle w:val="Normal"/>
        <w:rPr/>
      </w:pPr>
      <w:r>
        <w:rPr/>
      </w:r>
    </w:p>
    <w:p>
      <w:pPr>
        <w:pStyle w:val="Normal"/>
        <w:rPr/>
      </w:pPr>
      <w:r>
        <w:rPr/>
        <w:t>Abréviations : CCT = Clauses Contractuelles Types; DPF = Data Privacy Framework UE-États-Unis ; RT = Responsable de traitement.</w:t>
      </w:r>
    </w:p>
    <w:p>
      <w:pPr>
        <w:pStyle w:val="Normal"/>
        <w:rPr/>
      </w:pPr>
      <w:r>
        <w:rPr/>
      </w:r>
    </w:p>
    <w:p>
      <w:pPr>
        <w:pStyle w:val="Heading1"/>
        <w:rPr/>
      </w:pPr>
      <w:r>
        <w:rPr/>
        <w:t>8. Démarche d'amélioration continue</w:t>
      </w:r>
    </w:p>
    <w:p>
      <w:pPr>
        <w:pStyle w:val="Normal"/>
        <w:rPr/>
      </w:pPr>
      <w:r>
        <w:rPr/>
        <w:t>NetByUs s'inscrit dans une démarche active d'amélioration continue de sa posture de sécurité. Les axes de travail prioritaires engagés sont les suivants :</w:t>
      </w:r>
    </w:p>
    <w:p>
      <w:pPr>
        <w:pStyle w:val="ListParagraph"/>
        <w:numPr>
          <w:ilvl w:val="0"/>
          <w:numId w:val="1"/>
        </w:numPr>
        <w:rPr/>
      </w:pPr>
      <w:r>
        <w:rPr/>
        <w:t>Déploiement d'une solution de gestion du consentement aux cookies (CMP) conforme aux lignes directrices APDP.</w:t>
      </w:r>
    </w:p>
    <w:p>
      <w:pPr>
        <w:pStyle w:val="ListParagraph"/>
        <w:numPr>
          <w:ilvl w:val="0"/>
          <w:numId w:val="1"/>
        </w:numPr>
        <w:rPr/>
      </w:pPr>
      <w:r>
        <w:rPr/>
        <w:t>Renforcement des en-têtes HTTP de sécurité (Content Security Policy, HSTS, X-Frame-Options).</w:t>
      </w:r>
    </w:p>
    <w:p>
      <w:pPr>
        <w:pStyle w:val="ListParagraph"/>
        <w:numPr>
          <w:ilvl w:val="0"/>
          <w:numId w:val="1"/>
        </w:numPr>
        <w:rPr/>
      </w:pPr>
      <w:r>
        <w:rPr/>
        <w:t>Formalisation de la procédure de réponse aux incidents de sécurité.</w:t>
      </w:r>
    </w:p>
    <w:p>
      <w:pPr>
        <w:pStyle w:val="ListParagraph"/>
        <w:numPr>
          <w:ilvl w:val="0"/>
          <w:numId w:val="1"/>
        </w:numPr>
        <w:rPr/>
      </w:pPr>
      <w:r>
        <w:rPr/>
        <w:t>Mise en place d'une politique de gestion des accès et des habilitations documentée.</w:t>
      </w:r>
    </w:p>
    <w:p>
      <w:pPr>
        <w:pStyle w:val="ListParagraph"/>
        <w:numPr>
          <w:ilvl w:val="0"/>
          <w:numId w:val="1"/>
        </w:numPr>
        <w:rPr/>
      </w:pPr>
      <w:r>
        <w:rPr/>
        <w:t>Réalisation d'un audit de sécurité périodique du site et de son infrastructure.</w:t>
      </w:r>
    </w:p>
    <w:p>
      <w:pPr>
        <w:pStyle w:val="Normal"/>
        <w:rPr/>
      </w:pPr>
      <w:r>
        <w:rPr/>
      </w:r>
    </w:p>
    <w:p>
      <w:pPr>
        <w:pStyle w:val="Heading1"/>
        <w:rPr/>
      </w:pPr>
      <w:r>
        <w:rPr/>
        <w:t>9. Révision du document</w:t>
      </w:r>
    </w:p>
    <w:p>
      <w:pPr>
        <w:pStyle w:val="Normal"/>
        <w:rPr/>
      </w:pPr>
      <w:r>
        <w:rPr/>
        <w:t>Le présent document est révisé au minimum une fois par an, ou à chaque évolution significative des traitements ou de l'environnement technique de NetByUs. La version en vigueur est transmise à l’APDP sur demande et tenue à jour dans le registre des traitements.</w:t>
      </w:r>
    </w:p>
    <w:p>
      <w:pPr>
        <w:pStyle w:val="Heading1"/>
        <w:rPr/>
      </w:pPr>
      <w:r>
        <w:rPr/>
        <w:t>10. Attestation du responsable de traitement</w:t>
      </w:r>
    </w:p>
    <w:p>
      <w:pPr>
        <w:pStyle w:val="Normal"/>
        <w:rPr/>
      </w:pPr>
      <w:r>
        <w:rPr/>
        <w:t>Je soussigné(e), représentant légal de NetByUs, atteste que les mesures de sécurité décrites dans le présent document sont effectivement mises en œuvre ou en cours de déploiement à la date de signature, et que NetByUs s'engage à maintenir et améliorer ces mesures de manière continue.</w:t>
      </w:r>
    </w:p>
    <w:p>
      <w:pPr>
        <w:pStyle w:val="Normal"/>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00" w:right="1200" w:gutter="0" w:header="708" w:top="1100" w:footer="708" w:bottom="1100"/>
      <w:pgNumType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2" w:space="4" w:color="CCCCCC"/>
      </w:pBdr>
      <w:jc w:val="center"/>
      <w:rPr/>
    </w:pPr>
    <w:r>
      <w:rPr>
        <w:rFonts w:eastAsia="Arial" w:cs="Arial"/>
        <w:color w:val="444444"/>
        <w:sz w:val="18"/>
        <w:szCs w:val="18"/>
      </w:rPr>
      <w:t xml:space="preserve">www.netbyus.com  |  Page </w:t>
    </w:r>
    <w:r>
      <w:rPr/>
      <w:fldChar w:fldCharType="begin"/>
    </w:r>
    <w:r>
      <w:rPr/>
      <w:instrText xml:space="preserve"> PAGE </w:instrText>
    </w:r>
    <w:r>
      <w:rPr/>
      <w:fldChar w:fldCharType="separate"/>
    </w:r>
    <w:r>
      <w:rPr/>
      <w:t>2</w:t>
    </w:r>
    <w:r>
      <w:rPr/>
      <w:fldChar w:fldCharType="end"/>
    </w:r>
    <w:r>
      <w:rPr>
        <w:rFonts w:eastAsia="Arial" w:cs="Arial"/>
        <w:color w:val="444444"/>
        <w:sz w:val="18"/>
        <w:szCs w:val="18"/>
      </w:rPr>
      <w:t xml:space="preserve"> / </w:t>
    </w:r>
    <w:r>
      <w:rPr/>
      <w:fldChar w:fldCharType="begin"/>
    </w:r>
    <w:r>
      <w:rPr/>
      <w:instrText xml:space="preserve"> NUMPAGES </w:instrText>
    </w:r>
    <w:r>
      <w:rPr/>
      <w:fldChar w:fldCharType="separate"/>
    </w:r>
    <w:r>
      <w:rPr/>
      <w:t>4</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2" w:space="4" w:color="CCCCCC"/>
      </w:pBdr>
      <w:jc w:val="center"/>
      <w:rPr/>
    </w:pPr>
    <w:r>
      <w:rPr>
        <w:rFonts w:eastAsia="Arial" w:cs="Arial"/>
        <w:color w:val="444444"/>
        <w:sz w:val="18"/>
        <w:szCs w:val="18"/>
      </w:rPr>
      <w:t xml:space="preserve">www.netbyus.com  |  Page </w:t>
    </w:r>
    <w:r>
      <w:rPr/>
      <w:fldChar w:fldCharType="begin"/>
    </w:r>
    <w:r>
      <w:rPr/>
      <w:instrText xml:space="preserve"> PAGE </w:instrText>
    </w:r>
    <w:r>
      <w:rPr/>
      <w:fldChar w:fldCharType="separate"/>
    </w:r>
    <w:r>
      <w:rPr/>
      <w:t>2</w:t>
    </w:r>
    <w:r>
      <w:rPr/>
      <w:fldChar w:fldCharType="end"/>
    </w:r>
    <w:r>
      <w:rPr>
        <w:rFonts w:eastAsia="Arial" w:cs="Arial"/>
        <w:color w:val="444444"/>
        <w:sz w:val="18"/>
        <w:szCs w:val="18"/>
      </w:rPr>
      <w:t xml:space="preserve"> / </w:t>
    </w:r>
    <w:r>
      <w:rPr/>
      <w:fldChar w:fldCharType="begin"/>
    </w:r>
    <w:r>
      <w:rPr/>
      <w:instrText xml:space="preserve"> NUMPAGES </w:instrText>
    </w:r>
    <w:r>
      <w:rPr/>
      <w:fldChar w:fldCharType="separate"/>
    </w:r>
    <w:r>
      <w:rPr/>
      <w:t>4</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4" w:color="2E75B6"/>
      </w:pBdr>
      <w:rPr>
        <w:rFonts w:ascii="Arial" w:hAnsi="Arial" w:eastAsia="Arial" w:cs="Arial"/>
        <w:color w:val="444444"/>
        <w:sz w:val="19"/>
        <w:szCs w:val="19"/>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4" w:color="2E75B6"/>
      </w:pBdr>
      <w:rPr>
        <w:rFonts w:ascii="Arial" w:hAnsi="Arial" w:eastAsia="Arial" w:cs="Arial"/>
        <w:color w:val="444444"/>
        <w:sz w:val="19"/>
        <w:szCs w:val="19"/>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62"/>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1"/>
        <w:szCs w:val="21"/>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1"/>
      <w:szCs w:val="21"/>
      <w:lang w:val="fr-FR" w:eastAsia="zh-CN" w:bidi="hi-IN"/>
    </w:rPr>
  </w:style>
  <w:style w:type="paragraph" w:styleId="Heading1">
    <w:name w:val="Heading 1"/>
    <w:basedOn w:val="Titre"/>
    <w:qFormat/>
    <w:pPr>
      <w:spacing w:before="400" w:after="160"/>
      <w:outlineLvl w:val="0"/>
    </w:pPr>
    <w:rPr>
      <w:rFonts w:ascii="Arial" w:hAnsi="Arial" w:eastAsia="Arial" w:cs="Arial"/>
      <w:b/>
      <w:bCs/>
      <w:color w:val="1A3C6E"/>
      <w:sz w:val="30"/>
      <w:szCs w:val="30"/>
    </w:rPr>
  </w:style>
  <w:style w:type="paragraph" w:styleId="Heading2">
    <w:name w:val="Heading 2"/>
    <w:basedOn w:val="Titre"/>
    <w:qFormat/>
    <w:pPr>
      <w:spacing w:before="260" w:after="100"/>
      <w:outlineLvl w:val="1"/>
    </w:pPr>
    <w:rPr>
      <w:rFonts w:ascii="Arial" w:hAnsi="Arial" w:eastAsia="Arial" w:cs="Arial"/>
      <w:b/>
      <w:bCs/>
      <w:color w:val="2E75B6"/>
      <w:sz w:val="24"/>
      <w:szCs w:val="24"/>
    </w:rPr>
  </w:style>
  <w:style w:type="paragraph" w:styleId="Heading3">
    <w:name w:val="Heading 3"/>
    <w:basedOn w:val="Titre"/>
    <w:qFormat/>
    <w:pPr/>
    <w:rPr>
      <w:color w:val="1F4D78"/>
      <w:sz w:val="24"/>
      <w:szCs w:val="24"/>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uiPriority w:val="99"/>
    <w:semiHidden/>
    <w:unhideWhenUsed/>
    <w:qFormat/>
    <w:rPr>
      <w:sz w:val="20"/>
      <w:szCs w:val="20"/>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1"/>
      <w:szCs w:val="21"/>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1"/>
      <w:szCs w:val="21"/>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48</TotalTime>
  <Application>LibreOffice/24.2.7.2$Linux_X86_64 LibreOffice_project/420$Build-2</Application>
  <AppVersion>15.0000</AppVersion>
  <Pages>4</Pages>
  <Words>1078</Words>
  <Characters>6467</Characters>
  <CharactersWithSpaces>7446</CharactersWithSpaces>
  <Paragraphs>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2026-06-08T12:13:14Z</dcterms:created>
  <dc:creator>Un-named</dc:creator>
  <dc:description/>
  <dc:language>fr-FR</dc:language>
  <cp:lastModifiedBy/>
  <dcterms:modified xsi:type="dcterms:W3CDTF">2026-06-09T12:15:42Z</dcterms:modified>
  <cp:revision>9</cp:revision>
  <dc:subject/>
  <dc:title/>
</cp:coreProperties>
</file>