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1"/>
        <w:bidi w:val="0"/>
        <w:spacing w:before="240" w:after="120"/>
        <w:jc w:val="left"/>
        <w:rPr/>
      </w:pPr>
      <w:r>
        <w:rPr/>
        <w:t>Politique de Veille Technologique chez Sensio Labs</w:t>
      </w:r>
    </w:p>
    <w:p>
      <w:pPr>
        <w:pStyle w:val="Titre2"/>
        <w:bidi w:val="0"/>
        <w:jc w:val="left"/>
        <w:rPr/>
      </w:pPr>
      <w:r>
        <w:rPr/>
        <w:t>Introduction</w:t>
      </w:r>
    </w:p>
    <w:p>
      <w:pPr>
        <w:pStyle w:val="Corpsdetexte"/>
        <w:bidi w:val="0"/>
        <w:spacing w:lineRule="auto" w:line="276" w:before="0" w:after="140"/>
        <w:jc w:val="left"/>
        <w:rPr/>
      </w:pPr>
      <w:r>
        <w:rPr/>
        <w:t>La veille technologique chez Sensio Labs est une activité stratégique visant à surveiller les évolutions, les tendances et les innovations dans le domaine des technologies de l'information et de la communication (TIC). Cette politique définit les objectifs, les méthodes et les responsabilités associées à la veille technologique pour maintenir la compétitivité, favoriser l'innovation et anticiper les changements technologiques.</w:t>
      </w:r>
    </w:p>
    <w:p>
      <w:pPr>
        <w:pStyle w:val="Lignehorizontale"/>
        <w:suppressLineNumbers/>
        <w:pBdr>
          <w:bottom w:val="double" w:sz="2" w:space="0" w:color="808080"/>
        </w:pBdr>
        <w:bidi w:val="0"/>
        <w:spacing w:before="0" w:after="283"/>
        <w:jc w:val="left"/>
        <w:rPr/>
      </w:pPr>
      <w:r>
        <w:rPr/>
      </w:r>
    </w:p>
    <w:p>
      <w:pPr>
        <w:pStyle w:val="Titre2"/>
        <w:bidi w:val="0"/>
        <w:jc w:val="left"/>
        <w:rPr/>
      </w:pPr>
      <w:r>
        <w:rPr/>
        <w:t>Objectifs de la Politique</w:t>
      </w:r>
    </w:p>
    <w:p>
      <w:pPr>
        <w:pStyle w:val="Corpsdetexte"/>
        <w:bidi w:val="0"/>
        <w:spacing w:lineRule="auto" w:line="276" w:before="0" w:after="140"/>
        <w:jc w:val="left"/>
        <w:rPr/>
      </w:pPr>
      <w:r>
        <w:rPr/>
        <w:t>Les objectifs principaux de la politique de veille technologique sont les suivants :</w:t>
      </w:r>
    </w:p>
    <w:p>
      <w:pPr>
        <w:pStyle w:val="Corpsdetexte"/>
        <w:numPr>
          <w:ilvl w:val="0"/>
          <w:numId w:val="1"/>
        </w:numPr>
        <w:tabs>
          <w:tab w:val="clear" w:pos="709"/>
          <w:tab w:val="left" w:pos="709" w:leader="none"/>
        </w:tabs>
        <w:bidi w:val="0"/>
        <w:ind w:left="709" w:hanging="283"/>
        <w:jc w:val="left"/>
        <w:rPr/>
      </w:pPr>
      <w:r>
        <w:rPr>
          <w:rStyle w:val="Accentuationforte"/>
        </w:rPr>
        <w:t>Anticipation des Tendances</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Identifier et suivre les nouvelles tendances technologiques pertinentes pour l'industrie des logiciels et des services informatiques.</w:t>
      </w:r>
    </w:p>
    <w:p>
      <w:pPr>
        <w:pStyle w:val="Corpsdetexte"/>
        <w:numPr>
          <w:ilvl w:val="0"/>
          <w:numId w:val="1"/>
        </w:numPr>
        <w:tabs>
          <w:tab w:val="clear" w:pos="709"/>
          <w:tab w:val="left" w:pos="709" w:leader="none"/>
        </w:tabs>
        <w:bidi w:val="0"/>
        <w:ind w:left="709" w:hanging="283"/>
        <w:jc w:val="left"/>
        <w:rPr/>
      </w:pPr>
      <w:r>
        <w:rPr>
          <w:rStyle w:val="Accentuationforte"/>
        </w:rPr>
        <w:t>Innovation Continue</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Stimuler l'innovation en explorant les technologies émergentes susceptibles d'améliorer les produits et services de Sensio Labs.</w:t>
      </w:r>
    </w:p>
    <w:p>
      <w:pPr>
        <w:pStyle w:val="Corpsdetexte"/>
        <w:numPr>
          <w:ilvl w:val="0"/>
          <w:numId w:val="1"/>
        </w:numPr>
        <w:tabs>
          <w:tab w:val="clear" w:pos="709"/>
          <w:tab w:val="left" w:pos="709" w:leader="none"/>
        </w:tabs>
        <w:bidi w:val="0"/>
        <w:ind w:left="709" w:hanging="283"/>
        <w:jc w:val="left"/>
        <w:rPr/>
      </w:pPr>
      <w:r>
        <w:rPr>
          <w:rStyle w:val="Accentuationforte"/>
        </w:rPr>
        <w:t>Veille Concurrentielle</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Surveiller les initiatives technologiques de la concurrence pour identifier les forces et les faiblesses relatives.</w:t>
      </w:r>
    </w:p>
    <w:p>
      <w:pPr>
        <w:pStyle w:val="Corpsdetexte"/>
        <w:numPr>
          <w:ilvl w:val="0"/>
          <w:numId w:val="1"/>
        </w:numPr>
        <w:tabs>
          <w:tab w:val="clear" w:pos="709"/>
          <w:tab w:val="left" w:pos="709" w:leader="none"/>
        </w:tabs>
        <w:bidi w:val="0"/>
        <w:ind w:left="709" w:hanging="283"/>
        <w:jc w:val="left"/>
        <w:rPr/>
      </w:pPr>
      <w:r>
        <w:rPr>
          <w:rStyle w:val="Accentuationforte"/>
        </w:rPr>
        <w:t>Alignement Stratégique</w:t>
      </w:r>
      <w:r>
        <w:rPr/>
        <w:t xml:space="preserve"> :</w:t>
      </w:r>
    </w:p>
    <w:p>
      <w:pPr>
        <w:pStyle w:val="Corpsdetexte"/>
        <w:numPr>
          <w:ilvl w:val="1"/>
          <w:numId w:val="1"/>
        </w:numPr>
        <w:tabs>
          <w:tab w:val="clear" w:pos="709"/>
          <w:tab w:val="left" w:pos="1418" w:leader="none"/>
        </w:tabs>
        <w:bidi w:val="0"/>
        <w:ind w:left="1418" w:hanging="283"/>
        <w:jc w:val="left"/>
        <w:rPr/>
      </w:pPr>
      <w:r>
        <w:rPr/>
        <w:t>Assurer l'alignement des initiatives de veille technologique avec la stratégie globale de l'entreprise.</w:t>
      </w:r>
    </w:p>
    <w:p>
      <w:pPr>
        <w:pStyle w:val="Lignehorizontale"/>
        <w:bidi w:val="0"/>
        <w:jc w:val="left"/>
        <w:rPr/>
      </w:pPr>
      <w:r>
        <w:rPr/>
      </w:r>
    </w:p>
    <w:p>
      <w:pPr>
        <w:pStyle w:val="Titre2"/>
        <w:bidi w:val="0"/>
        <w:jc w:val="left"/>
        <w:rPr/>
      </w:pPr>
      <w:r>
        <w:rPr/>
        <w:t>Responsabilités</w:t>
      </w:r>
    </w:p>
    <w:p>
      <w:pPr>
        <w:pStyle w:val="Titre3"/>
        <w:bidi w:val="0"/>
        <w:jc w:val="left"/>
        <w:rPr/>
      </w:pPr>
      <w:r>
        <w:rPr/>
        <w:t>Direction Générale</w:t>
      </w:r>
    </w:p>
    <w:p>
      <w:pPr>
        <w:pStyle w:val="Corpsdetexte"/>
        <w:numPr>
          <w:ilvl w:val="0"/>
          <w:numId w:val="10"/>
        </w:numPr>
        <w:tabs>
          <w:tab w:val="clear" w:pos="709"/>
          <w:tab w:val="left" w:pos="709" w:leader="none"/>
        </w:tabs>
        <w:bidi w:val="0"/>
        <w:spacing w:before="0" w:after="0"/>
        <w:ind w:left="709" w:hanging="283"/>
        <w:jc w:val="left"/>
        <w:rPr/>
      </w:pPr>
      <w:r>
        <w:rPr/>
        <w:t>Définir la stratégie globale de veille technologique et approuver les initiatives clés.</w:t>
      </w:r>
    </w:p>
    <w:p>
      <w:pPr>
        <w:pStyle w:val="Corpsdetexte"/>
        <w:numPr>
          <w:ilvl w:val="0"/>
          <w:numId w:val="10"/>
        </w:numPr>
        <w:tabs>
          <w:tab w:val="clear" w:pos="709"/>
          <w:tab w:val="left" w:pos="709" w:leader="none"/>
        </w:tabs>
        <w:bidi w:val="0"/>
        <w:ind w:left="709" w:hanging="283"/>
        <w:jc w:val="left"/>
        <w:rPr/>
      </w:pPr>
      <w:r>
        <w:rPr/>
        <w:t>Allouer les ressources nécessaires pour soutenir les activités de veille technologique.</w:t>
      </w:r>
    </w:p>
    <w:p>
      <w:pPr>
        <w:pStyle w:val="Titre3"/>
        <w:bidi w:val="0"/>
        <w:jc w:val="left"/>
        <w:rPr/>
      </w:pPr>
      <w:r>
        <w:rPr/>
        <w:t>Service de Recherche et Développement</w:t>
      </w:r>
    </w:p>
    <w:p>
      <w:pPr>
        <w:pStyle w:val="Corpsdetexte"/>
        <w:numPr>
          <w:ilvl w:val="0"/>
          <w:numId w:val="11"/>
        </w:numPr>
        <w:tabs>
          <w:tab w:val="clear" w:pos="709"/>
          <w:tab w:val="left" w:pos="709" w:leader="none"/>
        </w:tabs>
        <w:bidi w:val="0"/>
        <w:spacing w:before="0" w:after="0"/>
        <w:ind w:left="709" w:hanging="283"/>
        <w:jc w:val="left"/>
        <w:rPr/>
      </w:pPr>
      <w:r>
        <w:rPr/>
        <w:t>Identifier les domaines technologiques prioritaires pour la veille.</w:t>
      </w:r>
    </w:p>
    <w:p>
      <w:pPr>
        <w:pStyle w:val="Corpsdetexte"/>
        <w:numPr>
          <w:ilvl w:val="0"/>
          <w:numId w:val="11"/>
        </w:numPr>
        <w:tabs>
          <w:tab w:val="clear" w:pos="709"/>
          <w:tab w:val="left" w:pos="709" w:leader="none"/>
        </w:tabs>
        <w:bidi w:val="0"/>
        <w:ind w:left="709" w:hanging="283"/>
        <w:jc w:val="left"/>
        <w:rPr/>
      </w:pPr>
      <w:r>
        <w:rPr/>
        <w:t>Évaluer les technologies émergentes et leur pertinence pour les besoins de l'entreprise.</w:t>
      </w:r>
    </w:p>
    <w:p>
      <w:pPr>
        <w:pStyle w:val="Titre3"/>
        <w:bidi w:val="0"/>
        <w:jc w:val="left"/>
        <w:rPr/>
      </w:pPr>
      <w:r>
        <w:rPr/>
        <w:t>Équipes de Projet</w:t>
      </w:r>
    </w:p>
    <w:p>
      <w:pPr>
        <w:pStyle w:val="Corpsdetexte"/>
        <w:numPr>
          <w:ilvl w:val="0"/>
          <w:numId w:val="12"/>
        </w:numPr>
        <w:tabs>
          <w:tab w:val="clear" w:pos="709"/>
          <w:tab w:val="left" w:pos="709" w:leader="none"/>
        </w:tabs>
        <w:bidi w:val="0"/>
        <w:ind w:left="709" w:hanging="283"/>
        <w:jc w:val="left"/>
        <w:rPr/>
      </w:pPr>
      <w:r>
        <w:rPr/>
        <w:t>Intégrer les résultats de la veille technologique dans la planification et le développement des projets.</w:t>
      </w:r>
    </w:p>
    <w:p>
      <w:pPr>
        <w:pStyle w:val="Titre3"/>
        <w:bidi w:val="0"/>
        <w:jc w:val="left"/>
        <w:rPr/>
      </w:pPr>
      <w:r>
        <w:rPr/>
        <w:t>Personnel</w:t>
      </w:r>
    </w:p>
    <w:p>
      <w:pPr>
        <w:pStyle w:val="Corpsdetexte"/>
        <w:numPr>
          <w:ilvl w:val="0"/>
          <w:numId w:val="13"/>
        </w:numPr>
        <w:tabs>
          <w:tab w:val="clear" w:pos="709"/>
          <w:tab w:val="left" w:pos="709" w:leader="none"/>
        </w:tabs>
        <w:bidi w:val="0"/>
        <w:ind w:left="709" w:hanging="283"/>
        <w:jc w:val="left"/>
        <w:rPr/>
      </w:pPr>
      <w:r>
        <w:rPr/>
        <w:t>Participer activement à la surveillance des tendances technologiques pertinentes pour leur domaine d'expertise.</w:t>
      </w:r>
    </w:p>
    <w:p>
      <w:pPr>
        <w:pStyle w:val="Lignehorizontale"/>
        <w:bidi w:val="0"/>
        <w:jc w:val="left"/>
        <w:rPr/>
      </w:pPr>
      <w:r>
        <w:rPr/>
      </w:r>
    </w:p>
    <w:p>
      <w:pPr>
        <w:pStyle w:val="Titre2"/>
        <w:bidi w:val="0"/>
        <w:jc w:val="left"/>
        <w:rPr/>
      </w:pPr>
      <w:r>
        <w:rPr/>
        <w:t>Méthodes de Veille Technologique</w:t>
      </w:r>
    </w:p>
    <w:p>
      <w:pPr>
        <w:pStyle w:val="Titre3"/>
        <w:bidi w:val="0"/>
        <w:jc w:val="left"/>
        <w:rPr/>
      </w:pPr>
      <w:r>
        <w:rPr/>
        <w:t>1. Surveillance de Sources d'Information</w:t>
      </w:r>
    </w:p>
    <w:p>
      <w:pPr>
        <w:pStyle w:val="Titre4"/>
        <w:bidi w:val="0"/>
        <w:jc w:val="left"/>
        <w:rPr/>
      </w:pPr>
      <w:r>
        <w:rPr/>
        <w:t>Sources Primaires</w:t>
      </w:r>
    </w:p>
    <w:p>
      <w:pPr>
        <w:pStyle w:val="Corpsdetexte"/>
        <w:numPr>
          <w:ilvl w:val="0"/>
          <w:numId w:val="2"/>
        </w:numPr>
        <w:tabs>
          <w:tab w:val="clear" w:pos="709"/>
          <w:tab w:val="left" w:pos="709" w:leader="none"/>
        </w:tabs>
        <w:bidi w:val="0"/>
        <w:spacing w:before="0" w:after="0"/>
        <w:ind w:left="709" w:hanging="283"/>
        <w:jc w:val="left"/>
        <w:rPr/>
      </w:pPr>
      <w:r>
        <w:rPr>
          <w:rStyle w:val="Accentuationforte"/>
        </w:rPr>
        <w:t>Revues spécialisées et publications académiques</w:t>
      </w:r>
      <w:r>
        <w:rPr/>
        <w:t xml:space="preserve"> : Abonnement à des revues technologiques et à des publications académiques pour suivre les avancées scientifiques et technologiques.</w:t>
      </w:r>
    </w:p>
    <w:p>
      <w:pPr>
        <w:pStyle w:val="Corpsdetexte"/>
        <w:numPr>
          <w:ilvl w:val="0"/>
          <w:numId w:val="2"/>
        </w:numPr>
        <w:tabs>
          <w:tab w:val="clear" w:pos="709"/>
          <w:tab w:val="left" w:pos="709" w:leader="none"/>
        </w:tabs>
        <w:bidi w:val="0"/>
        <w:ind w:left="709" w:hanging="283"/>
        <w:jc w:val="left"/>
        <w:rPr/>
      </w:pPr>
      <w:r>
        <w:rPr>
          <w:rStyle w:val="Accentuationforte"/>
        </w:rPr>
        <w:t>Conférences et événements sectoriels</w:t>
      </w:r>
      <w:r>
        <w:rPr/>
        <w:t xml:space="preserve"> : Participation à des conférences, salons et forums pour échanger avec des experts et découvrir les dernières innovations.</w:t>
      </w:r>
    </w:p>
    <w:p>
      <w:pPr>
        <w:pStyle w:val="Titre4"/>
        <w:bidi w:val="0"/>
        <w:jc w:val="left"/>
        <w:rPr/>
      </w:pPr>
      <w:r>
        <w:rPr/>
        <w:t>Sources Secondaires</w:t>
      </w:r>
    </w:p>
    <w:p>
      <w:pPr>
        <w:pStyle w:val="Corpsdetexte"/>
        <w:numPr>
          <w:ilvl w:val="0"/>
          <w:numId w:val="3"/>
        </w:numPr>
        <w:tabs>
          <w:tab w:val="clear" w:pos="709"/>
          <w:tab w:val="left" w:pos="709" w:leader="none"/>
        </w:tabs>
        <w:bidi w:val="0"/>
        <w:spacing w:before="0" w:after="0"/>
        <w:ind w:left="709" w:hanging="283"/>
        <w:jc w:val="left"/>
        <w:rPr/>
      </w:pPr>
      <w:r>
        <w:rPr>
          <w:rStyle w:val="Accentuationforte"/>
        </w:rPr>
        <w:t>Sites Web et Blogs</w:t>
      </w:r>
      <w:r>
        <w:rPr/>
        <w:t xml:space="preserve"> : Suivi de blogs technologiques, de sites d'information spécialisés et de forums de discussion pour rester informé des discussions communautaires.</w:t>
      </w:r>
    </w:p>
    <w:p>
      <w:pPr>
        <w:pStyle w:val="Corpsdetexte"/>
        <w:numPr>
          <w:ilvl w:val="0"/>
          <w:numId w:val="3"/>
        </w:numPr>
        <w:tabs>
          <w:tab w:val="clear" w:pos="709"/>
          <w:tab w:val="left" w:pos="709" w:leader="none"/>
        </w:tabs>
        <w:bidi w:val="0"/>
        <w:ind w:left="709" w:hanging="283"/>
        <w:jc w:val="left"/>
        <w:rPr/>
      </w:pPr>
      <w:r>
        <w:rPr>
          <w:rStyle w:val="Accentuationforte"/>
        </w:rPr>
        <w:t>Réseaux Sociaux</w:t>
      </w:r>
      <w:r>
        <w:rPr/>
        <w:t xml:space="preserve"> : Utilisation de plateformes sociales professionnelles pour suivre les leaders d'opinion et les tendances émergentes.</w:t>
      </w:r>
    </w:p>
    <w:p>
      <w:pPr>
        <w:pStyle w:val="Titre3"/>
        <w:bidi w:val="0"/>
        <w:jc w:val="left"/>
        <w:rPr/>
      </w:pPr>
      <w:r>
        <w:rPr/>
        <w:t>2. Analyse et Évaluation des Informations</w:t>
      </w:r>
    </w:p>
    <w:p>
      <w:pPr>
        <w:pStyle w:val="Titre4"/>
        <w:bidi w:val="0"/>
        <w:jc w:val="left"/>
        <w:rPr/>
      </w:pPr>
      <w:r>
        <w:rPr/>
        <w:t>Processus d'Analyse</w:t>
      </w:r>
    </w:p>
    <w:p>
      <w:pPr>
        <w:pStyle w:val="Corpsdetexte"/>
        <w:numPr>
          <w:ilvl w:val="0"/>
          <w:numId w:val="4"/>
        </w:numPr>
        <w:tabs>
          <w:tab w:val="clear" w:pos="709"/>
          <w:tab w:val="left" w:pos="709" w:leader="none"/>
        </w:tabs>
        <w:bidi w:val="0"/>
        <w:spacing w:before="0" w:after="0"/>
        <w:ind w:left="709" w:hanging="283"/>
        <w:jc w:val="left"/>
        <w:rPr/>
      </w:pPr>
      <w:r>
        <w:rPr>
          <w:rStyle w:val="Accentuationforte"/>
        </w:rPr>
        <w:t>Évaluation de la Pertinence</w:t>
      </w:r>
      <w:r>
        <w:rPr/>
        <w:t xml:space="preserve"> : Analyse critique des informations collectées pour déterminer leur pertinence par rapport aux besoins spécifiques de Sensio Labs.</w:t>
      </w:r>
    </w:p>
    <w:p>
      <w:pPr>
        <w:pStyle w:val="Corpsdetexte"/>
        <w:numPr>
          <w:ilvl w:val="0"/>
          <w:numId w:val="4"/>
        </w:numPr>
        <w:tabs>
          <w:tab w:val="clear" w:pos="709"/>
          <w:tab w:val="left" w:pos="709" w:leader="none"/>
        </w:tabs>
        <w:bidi w:val="0"/>
        <w:ind w:left="709" w:hanging="283"/>
        <w:jc w:val="left"/>
        <w:rPr/>
      </w:pPr>
      <w:r>
        <w:rPr>
          <w:rStyle w:val="Accentuationforte"/>
        </w:rPr>
        <w:t>Validation des Sources</w:t>
      </w:r>
      <w:r>
        <w:rPr/>
        <w:t xml:space="preserve"> : Vérification de la crédibilité et de la fiabilité des sources d'information pour garantir l'exactitude des données recueillies.</w:t>
      </w:r>
    </w:p>
    <w:p>
      <w:pPr>
        <w:pStyle w:val="Titre3"/>
        <w:bidi w:val="0"/>
        <w:jc w:val="left"/>
        <w:rPr/>
      </w:pPr>
      <w:r>
        <w:rPr/>
        <w:t>3. Diffusion et Partage des Connaissances</w:t>
      </w:r>
    </w:p>
    <w:p>
      <w:pPr>
        <w:pStyle w:val="Titre4"/>
        <w:bidi w:val="0"/>
        <w:jc w:val="left"/>
        <w:rPr/>
      </w:pPr>
      <w:r>
        <w:rPr/>
        <w:t>Communication Interne</w:t>
      </w:r>
    </w:p>
    <w:p>
      <w:pPr>
        <w:pStyle w:val="Corpsdetexte"/>
        <w:numPr>
          <w:ilvl w:val="0"/>
          <w:numId w:val="5"/>
        </w:numPr>
        <w:tabs>
          <w:tab w:val="clear" w:pos="709"/>
          <w:tab w:val="left" w:pos="709" w:leader="none"/>
        </w:tabs>
        <w:bidi w:val="0"/>
        <w:spacing w:before="0" w:after="0"/>
        <w:ind w:left="709" w:hanging="283"/>
        <w:jc w:val="left"/>
        <w:rPr/>
      </w:pPr>
      <w:r>
        <w:rPr>
          <w:rStyle w:val="Accentuationforte"/>
        </w:rPr>
        <w:t>Sessions de Partage de Connaissances</w:t>
      </w:r>
      <w:r>
        <w:rPr/>
        <w:t xml:space="preserve"> : Organisation de sessions internes pour partager les découvertes technologiques et discuter de leur impact potentiel sur les projets en cours.</w:t>
      </w:r>
    </w:p>
    <w:p>
      <w:pPr>
        <w:pStyle w:val="Corpsdetexte"/>
        <w:numPr>
          <w:ilvl w:val="0"/>
          <w:numId w:val="5"/>
        </w:numPr>
        <w:tabs>
          <w:tab w:val="clear" w:pos="709"/>
          <w:tab w:val="left" w:pos="709" w:leader="none"/>
        </w:tabs>
        <w:bidi w:val="0"/>
        <w:ind w:left="709" w:hanging="283"/>
        <w:jc w:val="left"/>
        <w:rPr/>
      </w:pPr>
      <w:r>
        <w:rPr>
          <w:rStyle w:val="Accentuationforte"/>
        </w:rPr>
        <w:t>Documentation et Rapports</w:t>
      </w:r>
      <w:r>
        <w:rPr/>
        <w:t xml:space="preserve"> : Documentation des résultats de la veille technologique dans des rapports périodiques pour informer la direction et les équipes de développement.</w:t>
      </w:r>
    </w:p>
    <w:p>
      <w:pPr>
        <w:pStyle w:val="Lignehorizontale"/>
        <w:bidi w:val="0"/>
        <w:jc w:val="left"/>
        <w:rPr/>
      </w:pPr>
      <w:r>
        <w:rPr/>
      </w:r>
    </w:p>
    <w:p>
      <w:pPr>
        <w:pStyle w:val="Titre2"/>
        <w:bidi w:val="0"/>
        <w:jc w:val="left"/>
        <w:rPr/>
      </w:pPr>
      <w:r>
        <w:rPr/>
        <w:t>Responsabilités et Collaboration</w:t>
      </w:r>
    </w:p>
    <w:p>
      <w:pPr>
        <w:pStyle w:val="Titre3"/>
        <w:bidi w:val="0"/>
        <w:jc w:val="left"/>
        <w:rPr/>
      </w:pPr>
      <w:r>
        <w:rPr/>
        <w:t>1. Responsabilités Individuelles</w:t>
      </w:r>
    </w:p>
    <w:p>
      <w:pPr>
        <w:pStyle w:val="Corpsdetexte"/>
        <w:numPr>
          <w:ilvl w:val="0"/>
          <w:numId w:val="6"/>
        </w:numPr>
        <w:tabs>
          <w:tab w:val="clear" w:pos="709"/>
          <w:tab w:val="left" w:pos="709" w:leader="none"/>
        </w:tabs>
        <w:bidi w:val="0"/>
        <w:spacing w:before="0" w:after="0"/>
        <w:ind w:left="709" w:hanging="283"/>
        <w:jc w:val="left"/>
        <w:rPr/>
      </w:pPr>
      <w:r>
        <w:rPr>
          <w:rStyle w:val="Accentuationforte"/>
        </w:rPr>
        <w:t>Équipes de Recherche et Développement</w:t>
      </w:r>
      <w:r>
        <w:rPr/>
        <w:t xml:space="preserve"> : Responsabilité principale de mener une veille technologique active et de proposer des innovations pertinentes.</w:t>
      </w:r>
    </w:p>
    <w:p>
      <w:pPr>
        <w:pStyle w:val="Corpsdetexte"/>
        <w:numPr>
          <w:ilvl w:val="0"/>
          <w:numId w:val="6"/>
        </w:numPr>
        <w:tabs>
          <w:tab w:val="clear" w:pos="709"/>
          <w:tab w:val="left" w:pos="709" w:leader="none"/>
        </w:tabs>
        <w:bidi w:val="0"/>
        <w:ind w:left="709" w:hanging="283"/>
        <w:jc w:val="left"/>
        <w:rPr/>
      </w:pPr>
      <w:r>
        <w:rPr>
          <w:rStyle w:val="Accentuationforte"/>
        </w:rPr>
        <w:t>Direction des Technologies</w:t>
      </w:r>
      <w:r>
        <w:rPr/>
        <w:t xml:space="preserve"> : Supervision et coordination des efforts de veille technologique pour assurer la cohérence et l'alignement stratégique.</w:t>
      </w:r>
    </w:p>
    <w:p>
      <w:pPr>
        <w:pStyle w:val="Titre3"/>
        <w:bidi w:val="0"/>
        <w:jc w:val="left"/>
        <w:rPr/>
      </w:pPr>
      <w:r>
        <w:rPr/>
        <w:t>2. Collaboration Interne et Externe</w:t>
      </w:r>
    </w:p>
    <w:p>
      <w:pPr>
        <w:pStyle w:val="Corpsdetexte"/>
        <w:numPr>
          <w:ilvl w:val="0"/>
          <w:numId w:val="7"/>
        </w:numPr>
        <w:tabs>
          <w:tab w:val="clear" w:pos="709"/>
          <w:tab w:val="left" w:pos="709" w:leader="none"/>
        </w:tabs>
        <w:bidi w:val="0"/>
        <w:spacing w:before="0" w:after="0"/>
        <w:ind w:left="709" w:hanging="283"/>
        <w:jc w:val="left"/>
        <w:rPr/>
      </w:pPr>
      <w:r>
        <w:rPr>
          <w:rStyle w:val="Accentuationforte"/>
        </w:rPr>
        <w:t>Collaboration Interne</w:t>
      </w:r>
      <w:r>
        <w:rPr/>
        <w:t xml:space="preserve"> : Encouragement de la collaboration entre les différentes équipes pour maximiser l'impact de la veille technologique sur l'ensemble de l'organisation.</w:t>
      </w:r>
    </w:p>
    <w:p>
      <w:pPr>
        <w:pStyle w:val="Corpsdetexte"/>
        <w:numPr>
          <w:ilvl w:val="0"/>
          <w:numId w:val="7"/>
        </w:numPr>
        <w:tabs>
          <w:tab w:val="clear" w:pos="709"/>
          <w:tab w:val="left" w:pos="709" w:leader="none"/>
        </w:tabs>
        <w:bidi w:val="0"/>
        <w:ind w:left="709" w:hanging="283"/>
        <w:jc w:val="left"/>
        <w:rPr/>
      </w:pPr>
      <w:r>
        <w:rPr>
          <w:rStyle w:val="Accentuationforte"/>
        </w:rPr>
        <w:t>Partenariats Externes</w:t>
      </w:r>
      <w:r>
        <w:rPr/>
        <w:t xml:space="preserve"> : Établissement de partenariats avec des universités, des laboratoires de recherche et des startups pour accéder à des innovations potentielles.</w:t>
      </w:r>
    </w:p>
    <w:p>
      <w:pPr>
        <w:pStyle w:val="Lignehorizontale"/>
        <w:bidi w:val="0"/>
        <w:jc w:val="left"/>
        <w:rPr/>
      </w:pPr>
      <w:r>
        <w:rPr/>
      </w:r>
    </w:p>
    <w:p>
      <w:pPr>
        <w:pStyle w:val="Titre2"/>
        <w:bidi w:val="0"/>
        <w:jc w:val="left"/>
        <w:rPr/>
      </w:pPr>
      <w:r>
        <w:rPr/>
        <w:t>Évaluation et Révision de la Politique</w:t>
      </w:r>
    </w:p>
    <w:p>
      <w:pPr>
        <w:pStyle w:val="Titre3"/>
        <w:bidi w:val="0"/>
        <w:jc w:val="left"/>
        <w:rPr/>
      </w:pPr>
      <w:r>
        <w:rPr/>
        <w:t>1. Évaluation Régulière</w:t>
      </w:r>
    </w:p>
    <w:p>
      <w:pPr>
        <w:pStyle w:val="Corpsdetexte"/>
        <w:numPr>
          <w:ilvl w:val="0"/>
          <w:numId w:val="8"/>
        </w:numPr>
        <w:tabs>
          <w:tab w:val="clear" w:pos="709"/>
          <w:tab w:val="left" w:pos="709" w:leader="none"/>
        </w:tabs>
        <w:bidi w:val="0"/>
        <w:spacing w:before="0" w:after="0"/>
        <w:ind w:left="709" w:hanging="283"/>
        <w:jc w:val="left"/>
        <w:rPr/>
      </w:pPr>
      <w:r>
        <w:rPr>
          <w:rStyle w:val="Accentuationforte"/>
        </w:rPr>
        <w:t>Analyse des Résultats</w:t>
      </w:r>
      <w:r>
        <w:rPr/>
        <w:t xml:space="preserve"> : Évaluation périodique des résultats de la veille technologique pour mesurer son efficacité et son impact sur l'innovation.</w:t>
      </w:r>
    </w:p>
    <w:p>
      <w:pPr>
        <w:pStyle w:val="Corpsdetexte"/>
        <w:numPr>
          <w:ilvl w:val="0"/>
          <w:numId w:val="8"/>
        </w:numPr>
        <w:tabs>
          <w:tab w:val="clear" w:pos="709"/>
          <w:tab w:val="left" w:pos="709" w:leader="none"/>
        </w:tabs>
        <w:bidi w:val="0"/>
        <w:ind w:left="709" w:hanging="283"/>
        <w:jc w:val="left"/>
        <w:rPr/>
      </w:pPr>
      <w:r>
        <w:rPr>
          <w:rStyle w:val="Accentuationforte"/>
        </w:rPr>
        <w:t>Feedback des Utilisateurs</w:t>
      </w:r>
      <w:r>
        <w:rPr/>
        <w:t xml:space="preserve"> : Collecte de feedback auprès des équipes utilisant les informations issues de la veille pour ajuster les priorités et les méthodes.</w:t>
      </w:r>
    </w:p>
    <w:p>
      <w:pPr>
        <w:pStyle w:val="Titre3"/>
        <w:bidi w:val="0"/>
        <w:jc w:val="left"/>
        <w:rPr/>
      </w:pPr>
      <w:r>
        <w:rPr/>
        <w:t>2. Adaptation aux Changements</w:t>
      </w:r>
    </w:p>
    <w:p>
      <w:pPr>
        <w:pStyle w:val="Corpsdetexte"/>
        <w:numPr>
          <w:ilvl w:val="0"/>
          <w:numId w:val="9"/>
        </w:numPr>
        <w:tabs>
          <w:tab w:val="clear" w:pos="709"/>
          <w:tab w:val="left" w:pos="709" w:leader="none"/>
        </w:tabs>
        <w:bidi w:val="0"/>
        <w:spacing w:before="0" w:after="0"/>
        <w:ind w:left="709" w:hanging="283"/>
        <w:jc w:val="left"/>
        <w:rPr/>
      </w:pPr>
      <w:r>
        <w:rPr>
          <w:rStyle w:val="Accentuationforte"/>
        </w:rPr>
        <w:t>Adaptabilité</w:t>
      </w:r>
      <w:r>
        <w:rPr/>
        <w:t xml:space="preserve"> : Capacité à ajuster la stratégie de veille technologique en fonction des changements rapides du marché et des nouvelles opportunités technologiques.</w:t>
      </w:r>
    </w:p>
    <w:p>
      <w:pPr>
        <w:pStyle w:val="Corpsdetexte"/>
        <w:numPr>
          <w:ilvl w:val="0"/>
          <w:numId w:val="9"/>
        </w:numPr>
        <w:tabs>
          <w:tab w:val="clear" w:pos="709"/>
          <w:tab w:val="left" w:pos="709" w:leader="none"/>
        </w:tabs>
        <w:bidi w:val="0"/>
        <w:ind w:left="709" w:hanging="283"/>
        <w:jc w:val="left"/>
        <w:rPr/>
      </w:pPr>
      <w:r>
        <w:rPr>
          <w:rStyle w:val="Accentuationforte"/>
        </w:rPr>
        <w:t>Révision Périodique</w:t>
      </w:r>
      <w:r>
        <w:rPr/>
        <w:t xml:space="preserve"> : Révision régulière de la politique pour intégrer de nouvelles pratiques et technologies émergentes.</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pStyle w:val="Titre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spacing w:before="140" w:after="120"/>
      <w:outlineLvl w:val="2"/>
    </w:pPr>
    <w:rPr>
      <w:rFonts w:ascii="Liberation Serif" w:hAnsi="Liberation Serif" w:eastAsia="Noto Serif CJK SC" w:cs="Lohit Devanagari"/>
      <w:b/>
      <w:bCs/>
      <w:sz w:val="28"/>
      <w:szCs w:val="28"/>
    </w:rPr>
  </w:style>
  <w:style w:type="paragraph" w:styleId="Titre4">
    <w:name w:val="Heading 4"/>
    <w:basedOn w:val="Titre"/>
    <w:next w:val="Corpsdetexte"/>
    <w:qFormat/>
    <w:pPr>
      <w:spacing w:before="120" w:after="120"/>
      <w:outlineLvl w:val="3"/>
    </w:pPr>
    <w:rPr>
      <w:rFonts w:ascii="Liberation Serif" w:hAnsi="Liberation Serif" w:eastAsia="Noto Serif CJK SC" w:cs="Lohit Devanagari"/>
      <w:b/>
      <w:bCs/>
      <w:sz w:val="24"/>
      <w:szCs w:val="24"/>
    </w:rPr>
  </w:style>
  <w:style w:type="character" w:styleId="Caractresdenumrotation">
    <w:name w:val="Caractères de numérotation"/>
    <w:qFormat/>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LibreOffice/7.3.7.2$Linux_X86_64 LibreOffice_project/30$Build-2</Application>
  <AppVersion>15.0000</AppVersion>
  <Pages>3</Pages>
  <Words>667</Words>
  <Characters>4208</Characters>
  <CharactersWithSpaces>4791</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2024-07-16T13:48:03Z</dcterms:created>
  <dc:creator/>
  <dc:description/>
  <dc:language>fr-FR</dc:language>
  <cp:lastModifiedBy/>
  <dcterms:modified xsi:type="dcterms:W3CDTF">2024-07-16T13:50:32Z</dcterms:modified>
  <cp:revision>1</cp:revision>
  <dc:subject/>
  <dc:title/>
</cp:coreProperties>
</file>