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before="0" w:after="60"/>
        <w:rPr/>
      </w:pPr>
      <w:r>
        <w:rPr/>
        <w:t>Fidelity-api — deux cas d'intégration, tâches à faire</w:t>
      </w:r>
    </w:p>
    <w:p>
      <w:pPr>
        <w:pStyle w:val="Normal"/>
        <w:spacing w:before="0" w:after="220"/>
        <w:rPr/>
      </w:pPr>
      <w:r>
        <w:rPr>
          <w:i/>
          <w:iCs/>
          <w:color w:val="5F5E5A"/>
        </w:rPr>
        <w:t>Application Shop (backend) et application tierce avec widget — droits laissés de côté pour l'instant</w:t>
      </w:r>
    </w:p>
    <w:p>
      <w:pPr>
        <w:pStyle w:val="Heading1"/>
        <w:spacing w:before="280" w:after="130"/>
        <w:rPr/>
      </w:pPr>
      <w:r>
        <w:rPr/>
        <w:t>0. Correspondance avec les tables existantes</w:t>
      </w:r>
    </w:p>
    <w:p>
      <w:pPr>
        <w:pStyle w:val="Normal"/>
        <w:spacing w:before="0" w:after="120"/>
        <w:rPr/>
      </w:pPr>
      <w:r>
        <w:rPr/>
        <w:t>Le schéma de base existant utilise déjà les noms réels ci-dessous. On les reprend tels quels plutôt que d'utiliser des noms génériques.</w:t>
      </w:r>
    </w:p>
    <w:tbl>
      <w:tblPr>
        <w:tblW w:w="9800" w:type="dxa"/>
        <w:jc w:val="left"/>
        <w:tblInd w:w="0" w:type="dxa"/>
        <w:tblLayout w:type="fixed"/>
        <w:tblCellMar>
          <w:top w:w="70" w:type="dxa"/>
          <w:left w:w="90" w:type="dxa"/>
          <w:bottom w:w="70" w:type="dxa"/>
          <w:right w:w="90" w:type="dxa"/>
        </w:tblCellMar>
      </w:tblPr>
      <w:tblGrid>
        <w:gridCol w:w="499"/>
        <w:gridCol w:w="2600"/>
        <w:gridCol w:w="6701"/>
      </w:tblGrid>
      <w:tr>
        <w:trPr>
          <w:tblHeader w:val="true"/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Tâche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Détail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Company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Existe déjà — c'est l'entité à laquelle rattacher la paire de clés (via society_id, déjà utilisé par Shops, promotions, coupons, rule_bonus, rule_points)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Users / shop_users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Existent déjà — copie locale des caissiers côté fidelity-api, utilisée pour vérifier l'appartenance boutique/caissier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api_keys (à créer)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Nouvelle table, liée à Company — porte la clé publique et le hash de la clé secrète</w:t>
            </w:r>
          </w:p>
        </w:tc>
      </w:tr>
    </w:tbl>
    <w:p>
      <w:pPr>
        <w:pStyle w:val="Heading1"/>
        <w:spacing w:before="280" w:after="130"/>
        <w:rPr/>
      </w:pPr>
      <w:r>
        <w:rPr/>
        <w:t>1. Cas 1 — Application Shop (backend-à-backend)</w:t>
      </w:r>
    </w:p>
    <w:p>
      <w:pPr>
        <w:pStyle w:val="Normal"/>
        <w:spacing w:before="60" w:after="160"/>
        <w:jc w:val="center"/>
        <w:rPr/>
      </w:pPr>
      <w:r>
        <w:rPr/>
        <w:drawing>
          <wp:inline distT="0" distB="0" distL="0" distR="0">
            <wp:extent cx="5334000" cy="1885950"/>
            <wp:effectExtent l="0" t="0" r="0" b="0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120"/>
        <w:rPr/>
      </w:pPr>
      <w:r>
        <w:rPr/>
        <w:t>La clé publique/secrète est longue durée et révocable activement. Elle authentifie chaque appel serveur-à-serveur entre shop-core-api et fidelity-api.</w:t>
      </w:r>
    </w:p>
    <w:p>
      <w:pPr>
        <w:pStyle w:val="Heading2"/>
        <w:spacing w:before="220" w:after="100"/>
        <w:rPr/>
      </w:pPr>
      <w:r>
        <w:rPr>
          <w:color w:val="993C1D"/>
        </w:rPr>
        <w:t>1.1 Côté fidelity-api</w:t>
      </w:r>
    </w:p>
    <w:tbl>
      <w:tblPr>
        <w:tblW w:w="9800" w:type="dxa"/>
        <w:jc w:val="left"/>
        <w:tblInd w:w="0" w:type="dxa"/>
        <w:tblLayout w:type="fixed"/>
        <w:tblCellMar>
          <w:top w:w="70" w:type="dxa"/>
          <w:left w:w="90" w:type="dxa"/>
          <w:bottom w:w="70" w:type="dxa"/>
          <w:right w:w="90" w:type="dxa"/>
        </w:tblCellMar>
      </w:tblPr>
      <w:tblGrid>
        <w:gridCol w:w="499"/>
        <w:gridCol w:w="2600"/>
        <w:gridCol w:w="6701"/>
      </w:tblGrid>
      <w:tr>
        <w:trPr>
          <w:tblHeader w:val="true"/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Tâche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Détail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Ajouter shop_tenant_id sur Company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Colonne unique — fait la correspondance avec le tenant shop-core-api d'origine, absente aujourd'hui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Créer la table api_keys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company_id (FK vers Company), public_key, secret_hash, revoked_at, timestamps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Endpoint d'activation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Reçoit shop_tenant_id + nom du tenant fidélité, crée la Company si besoin, génère et renvoie la paire de clés une seule fois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Endpoint de statut de clé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Vérifie que la clé n'est pas révoquée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Endpoint de révocation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Marque la clé comme révoquée pour une Company donnée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Endpoint de rotation des clés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Génère une nouvelle paire, révoque l'ancienne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Middleware de vérification de clés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Vérifie clé publique + secrète sur chaque requête entrante (hors activation)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Vérification d'appartenance via Users/shop_users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Déjà en place pour sales/status — à connecter systématiquement à ce nouveau middleware pour toutes les routes recevant un user_id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Retirer la dépendance à CENTRAL_URL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Plus d'introspection centrale via core-api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Supprimer AuthenticateWithCentral et les routes central-auth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Ancienne étape D, abandonnée</w:t>
            </w:r>
          </w:p>
        </w:tc>
      </w:tr>
    </w:tbl>
    <w:p>
      <w:pPr>
        <w:pStyle w:val="Heading2"/>
        <w:spacing w:before="220" w:after="100"/>
        <w:rPr/>
      </w:pPr>
      <w:r>
        <w:rPr>
          <w:color w:val="0F6E56"/>
        </w:rPr>
        <w:t>1.2 Côté shop-api</w:t>
      </w:r>
    </w:p>
    <w:tbl>
      <w:tblPr>
        <w:tblW w:w="9800" w:type="dxa"/>
        <w:jc w:val="left"/>
        <w:tblInd w:w="0" w:type="dxa"/>
        <w:tblLayout w:type="fixed"/>
        <w:tblCellMar>
          <w:top w:w="70" w:type="dxa"/>
          <w:left w:w="90" w:type="dxa"/>
          <w:bottom w:w="70" w:type="dxa"/>
          <w:right w:w="90" w:type="dxa"/>
        </w:tblCellMar>
      </w:tblPr>
      <w:tblGrid>
        <w:gridCol w:w="499"/>
        <w:gridCol w:w="2600"/>
        <w:gridCol w:w="6701"/>
      </w:tblGrid>
      <w:tr>
        <w:trPr>
          <w:tblHeader w:val="true"/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Tâche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Détail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Créer la table fidelity_configs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public_key, secret_key chiffrée, activated_at, status_checked_at, dernier résultat de statut mis en cache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FidelityKeyService — activation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Appelle l'endpoint d'activation avec l'ID de tenant + nom du tenant fidélité, stocke la paire reçue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FidelityKeyService — vérification de statut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Appelle l'endpoint de statut, cache court (quelques dizaines de secondes)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Invalidation immédiate du cache sur 401/403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Rafraîchir le statut tout de suite plutôt que d'attendre l'expiration du cache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FidelityService — en-têtes de clé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Clé publique + secrète sur tous les appels fonctionnels (recherche client, ventes, sync)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FidelityService — transmission user_id/shop_id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En clair dans les requêtes, après authentification du user par shop-core-api lui-même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Retirer l'appel à REMOTE_LICENSE_API_URL dans isActivated()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Remplacé par l'appel direct au statut de clé chez fidelity-api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Route et contrôleur admin d'activation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Réservé à un admin authentifié sur le tenant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Champ du formulaire : nom du tenant fidélité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Seul champ métier nécessaire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Empêcher une double activation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Vérifier qu'aucune paire de clés n'existe déjà avant d'en générer une nouvelle</w:t>
            </w:r>
          </w:p>
        </w:tc>
      </w:tr>
    </w:tbl>
    <w:p>
      <w:pPr>
        <w:pStyle w:val="Heading1"/>
        <w:spacing w:before="280" w:after="130"/>
        <w:rPr/>
      </w:pPr>
      <w:r>
        <w:rPr/>
        <w:t>2. Cas 2 — Application X avec widget (caissier)</w:t>
      </w:r>
    </w:p>
    <w:p>
      <w:pPr>
        <w:pStyle w:val="Normal"/>
        <w:spacing w:before="60" w:after="160"/>
        <w:jc w:val="center"/>
        <w:rPr/>
      </w:pPr>
      <w:r>
        <w:rPr/>
        <w:drawing>
          <wp:inline distT="0" distB="0" distL="0" distR="0">
            <wp:extent cx="5334000" cy="1885950"/>
            <wp:effectExtent l="0" t="0" r="0" b="0"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120"/>
        <w:rPr/>
      </w:pPr>
      <w:r>
        <w:rPr/>
        <w:t>Le widget tourne dans le navigateur du caissier de l'application X : il ne peut jamais recevoir la clé secrète de X. Le backend de X échange sa clé contre un token court et scopé, que le widget utilise pour agir.</w:t>
      </w:r>
    </w:p>
    <w:p>
      <w:pPr>
        <w:pStyle w:val="Heading2"/>
        <w:spacing w:before="220" w:after="100"/>
        <w:rPr/>
      </w:pPr>
      <w:r>
        <w:rPr>
          <w:color w:val="993C1D"/>
        </w:rPr>
        <w:t>2.1 Côté fidelity-api</w:t>
      </w:r>
    </w:p>
    <w:tbl>
      <w:tblPr>
        <w:tblW w:w="9800" w:type="dxa"/>
        <w:jc w:val="left"/>
        <w:tblInd w:w="0" w:type="dxa"/>
        <w:tblLayout w:type="fixed"/>
        <w:tblCellMar>
          <w:top w:w="70" w:type="dxa"/>
          <w:left w:w="90" w:type="dxa"/>
          <w:bottom w:w="70" w:type="dxa"/>
          <w:right w:w="90" w:type="dxa"/>
        </w:tblCellMar>
      </w:tblPr>
      <w:tblGrid>
        <w:gridCol w:w="499"/>
        <w:gridCol w:w="2600"/>
        <w:gridCol w:w="6701"/>
      </w:tblGrid>
      <w:tr>
        <w:trPr>
          <w:tblHeader w:val="true"/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Tâche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Détail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Endpoint d'émission de token widget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Reçoit la clé de l'application (publique+secrète) + l'identité du caissier et de la boutique ; renvoie un token court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Choisir le mécanisme de token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Recommandé : JWT signé par fidelity-api, vérifiable sans état — pas de table de sessions à gérer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Middleware de vérification des routes widget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Accepte le token (recherche client, vente) — distinct du middleware clé publique/secrète de l'étape 1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Durée d'expiration du token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Courte — de l'ordre d'une session de travail caissier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Aucune révocation active à prévoir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Le token expire naturellement ; décision déjà actée</w:t>
            </w:r>
          </w:p>
        </w:tc>
      </w:tr>
    </w:tbl>
    <w:p>
      <w:pPr>
        <w:pStyle w:val="Heading2"/>
        <w:spacing w:before="220" w:after="100"/>
        <w:rPr/>
      </w:pPr>
      <w:r>
        <w:rPr>
          <w:color w:val="0F6E56"/>
        </w:rPr>
        <w:t>2.</w:t>
      </w:r>
      <w:r>
        <w:rPr>
          <w:color w:val="0F6E56"/>
        </w:rPr>
        <w:t>2</w:t>
      </w:r>
      <w:r>
        <w:rPr>
          <w:color w:val="0F6E56"/>
        </w:rPr>
        <w:t xml:space="preserve"> Le widget (fourni par fidelity, embarqué chez X)</w:t>
      </w:r>
    </w:p>
    <w:tbl>
      <w:tblPr>
        <w:tblW w:w="9800" w:type="dxa"/>
        <w:jc w:val="left"/>
        <w:tblInd w:w="0" w:type="dxa"/>
        <w:tblLayout w:type="fixed"/>
        <w:tblCellMar>
          <w:top w:w="70" w:type="dxa"/>
          <w:left w:w="90" w:type="dxa"/>
          <w:bottom w:w="70" w:type="dxa"/>
          <w:right w:w="90" w:type="dxa"/>
        </w:tblCellMar>
      </w:tblPr>
      <w:tblGrid>
        <w:gridCol w:w="499"/>
        <w:gridCol w:w="2600"/>
        <w:gridCol w:w="6701"/>
      </w:tblGrid>
      <w:tr>
        <w:trPr>
          <w:tblHeader w:val="true"/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Tâche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85FA5" w:val="clea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Détail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Utiliser le token pour ses appels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Recherche client, vente avec points</w:t>
            </w:r>
          </w:p>
        </w:tc>
      </w:tr>
      <w:tr>
        <w:trPr>
          <w:cantSplit w:val="true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☐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Gérer l'expiration proprement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 w:val="false"/>
                <w:bCs w:val="false"/>
                <w:sz w:val="19"/>
                <w:szCs w:val="19"/>
              </w:rPr>
              <w:t>Signaler à l'application hôte qu'un nouveau token est nécessaire, sans jamais gérer lui-même la clé</w:t>
            </w:r>
          </w:p>
        </w:tc>
      </w:tr>
    </w:tbl>
    <w:p>
      <w:pPr>
        <w:pStyle w:val="Heading1"/>
        <w:spacing w:before="280" w:after="130"/>
        <w:rPr/>
      </w:pPr>
      <w:r>
        <w:rPr/>
        <w:t>3. Ordre recommandé</w:t>
      </w:r>
    </w:p>
    <w:p>
      <w:pPr>
        <w:pStyle w:val="Normal"/>
        <w:spacing w:before="0" w:after="120"/>
        <w:rPr/>
      </w:pPr>
      <w:r>
        <w:rPr/>
        <w:t>Le cas 1 est la fondation : la table api_keys et le mécanisme de vérification de clé doivent exister avant le cas 2, puisque l'émission d'un token widget dépend d'une clé d'application déjà valide. Construire et stabiliser le cas 1 en premier, puis ajouter l'émission de token pour le cas 2 par-dessus.</w:t>
      </w:r>
    </w:p>
    <w:p>
      <w:pPr>
        <w:pStyle w:val="Heading1"/>
        <w:spacing w:before="280" w:after="130"/>
        <w:rPr/>
      </w:pPr>
      <w:r>
        <w:rPr/>
        <w:t>4. Hors scope pour l'instant</w:t>
      </w:r>
    </w:p>
    <w:p>
      <w:pPr>
        <w:pStyle w:val="ListParagraph"/>
        <w:numPr>
          <w:ilvl w:val="0"/>
          <w:numId w:val="3"/>
        </w:numPr>
        <w:spacing w:before="0" w:after="60"/>
        <w:rPr/>
      </w:pPr>
      <w:r>
        <w:rPr/>
        <w:t>La gestion des droits par type d'accès (scopes sur les clés, restrictions du token widget) — traitée dans un document séparé, à reprendre plus tard.</w:t>
      </w:r>
    </w:p>
    <w:sectPr>
      <w:type w:val="nextPage"/>
      <w:pgSz w:w="11906" w:h="16838"/>
      <w:pgMar w:left="1000" w:right="1000" w:gutter="0" w:header="0" w:top="900" w:footer="0" w:bottom="90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400" w:hanging="24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Noto Sans Devanagari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Noto Serif CJK SC" w:cs="Noto Sans Devanagari"/>
      <w:color w:val="auto"/>
      <w:kern w:val="0"/>
      <w:sz w:val="20"/>
      <w:szCs w:val="20"/>
      <w:lang w:val="fr-FR" w:eastAsia="zh-CN" w:bidi="hi-IN"/>
    </w:rPr>
  </w:style>
  <w:style w:type="paragraph" w:styleId="Heading1">
    <w:name w:val="Heading 1"/>
    <w:basedOn w:val="Titre"/>
    <w:qFormat/>
    <w:pPr/>
    <w:rPr>
      <w:color w:val="2E74B5"/>
      <w:sz w:val="32"/>
      <w:szCs w:val="32"/>
    </w:rPr>
  </w:style>
  <w:style w:type="paragraph" w:styleId="Heading2">
    <w:name w:val="Heading 2"/>
    <w:basedOn w:val="Titre"/>
    <w:qFormat/>
    <w:pPr/>
    <w:rPr>
      <w:color w:val="2E74B5"/>
      <w:sz w:val="26"/>
      <w:szCs w:val="26"/>
    </w:rPr>
  </w:style>
  <w:style w:type="paragraph" w:styleId="Heading3">
    <w:name w:val="Heading 3"/>
    <w:basedOn w:val="Titre"/>
    <w:qFormat/>
    <w:pPr/>
    <w:rPr>
      <w:color w:val="1F4D78"/>
      <w:sz w:val="24"/>
      <w:szCs w:val="24"/>
    </w:rPr>
  </w:style>
  <w:style w:type="paragraph" w:styleId="Heading4">
    <w:name w:val="Heading 4"/>
    <w:basedOn w:val="Titre"/>
    <w:qFormat/>
    <w:pPr/>
    <w:rPr>
      <w:i/>
      <w:iCs/>
      <w:color w:val="2E74B5"/>
    </w:rPr>
  </w:style>
  <w:style w:type="paragraph" w:styleId="Heading5">
    <w:name w:val="Heading 5"/>
    <w:basedOn w:val="Titre"/>
    <w:qFormat/>
    <w:pPr/>
    <w:rPr>
      <w:color w:val="2E74B5"/>
    </w:rPr>
  </w:style>
  <w:style w:type="paragraph" w:styleId="Heading6">
    <w:name w:val="Heading 6"/>
    <w:basedOn w:val="Titre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Caractresdenotedebasdepage">
    <w:name w:val="Caractères de note de bas de page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character" w:styleId="Caractresdenotedefin">
    <w:name w:val="Caractères de note de fin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uiPriority w:val="99"/>
    <w:semiHidden/>
    <w:unhideWhenUsed/>
    <w:qFormat/>
    <w:rPr>
      <w:sz w:val="20"/>
      <w:szCs w:val="20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Titre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bidi w:val="0"/>
      <w:spacing w:before="0" w:after="0"/>
      <w:jc w:val="left"/>
    </w:pPr>
    <w:rPr>
      <w:rFonts w:ascii="Times New Roman" w:hAnsi="Times New Roman" w:eastAsia="Noto Serif CJK SC" w:cs="Noto Sans Devanagari"/>
      <w:b/>
      <w:bCs/>
      <w:color w:val="auto"/>
      <w:kern w:val="0"/>
      <w:sz w:val="20"/>
      <w:szCs w:val="20"/>
      <w:lang w:val="fr-FR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left"/>
    </w:pPr>
    <w:rPr>
      <w:rFonts w:ascii="Times New Roman" w:hAnsi="Times New Roman" w:eastAsia="Noto Serif CJK SC" w:cs="Noto Sans Devanagari"/>
      <w:color w:val="auto"/>
      <w:kern w:val="0"/>
      <w:sz w:val="20"/>
      <w:szCs w:val="20"/>
      <w:lang w:val="fr-FR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</TotalTime>
  <Application>LibreOffice/24.2.7.2$Linux_X86_64 LibreOffice_project/420$Build-2</Application>
  <AppVersion>15.0000</AppVersion>
  <Pages>3</Pages>
  <Words>747</Words>
  <Characters>4202</Characters>
  <CharactersWithSpaces>4844</CharactersWithSpaces>
  <Paragraphs>123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2026-09-14T15:01:21Z</dcterms:created>
  <dc:creator>Un-named</dc:creator>
  <dc:description/>
  <dc:language>fr-FR</dc:language>
  <cp:lastModifiedBy/>
  <dcterms:modified xsi:type="dcterms:W3CDTF">2026-09-14T16:29:50Z</dcterms:modified>
  <cp:revision>2</cp:revision>
  <dc:subject/>
  <dc:title/>
</cp:coreProperties>
</file>