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 xml:space="preserve">Voici les principales fonctionnalités </w:t>
      </w:r>
      <w:r>
        <w:rPr/>
        <w:t>à rajouter à la suite pour une utilisation en interne à NetByUs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sz w:val="32"/>
          <w:szCs w:val="32"/>
        </w:rPr>
      </w:pPr>
      <w:r>
        <w:rPr>
          <w:b/>
          <w:bCs/>
          <w:sz w:val="32"/>
          <w:szCs w:val="32"/>
        </w:rPr>
        <w:t>Module RH (Ressources Humaines)</w:t>
      </w:r>
    </w:p>
    <w:p>
      <w:pPr>
        <w:pStyle w:val="Normal"/>
        <w:bidi w:val="0"/>
        <w:jc w:val="left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ab/>
        <w:tab/>
      </w:r>
    </w:p>
    <w:p>
      <w:pPr>
        <w:pStyle w:val="Normal"/>
        <w:numPr>
          <w:ilvl w:val="0"/>
          <w:numId w:val="1"/>
        </w:numPr>
        <w:bidi w:val="0"/>
        <w:jc w:val="left"/>
        <w:rPr>
          <w:b/>
          <w:b/>
          <w:bCs/>
          <w:sz w:val="30"/>
          <w:szCs w:val="30"/>
        </w:rPr>
      </w:pPr>
      <w:r>
        <w:rPr>
          <w:rStyle w:val="Accentuationforte"/>
          <w:sz w:val="28"/>
          <w:szCs w:val="28"/>
        </w:rPr>
        <w:t>Gestion des employés</w:t>
      </w:r>
    </w:p>
    <w:p>
      <w:pPr>
        <w:pStyle w:val="Normal"/>
        <w:numPr>
          <w:ilvl w:val="0"/>
          <w:numId w:val="0"/>
        </w:numPr>
        <w:bidi w:val="0"/>
        <w:ind w:left="1429" w:hanging="0"/>
        <w:jc w:val="left"/>
        <w:rPr>
          <w:rStyle w:val="Accentuationforte"/>
          <w:sz w:val="26"/>
          <w:szCs w:val="26"/>
        </w:rPr>
      </w:pPr>
      <w:r>
        <w:rPr>
          <w:b/>
          <w:bCs/>
          <w:sz w:val="30"/>
          <w:szCs w:val="30"/>
        </w:rPr>
      </w:r>
    </w:p>
    <w:p>
      <w:pPr>
        <w:pStyle w:val="Normal"/>
        <w:numPr>
          <w:ilvl w:val="0"/>
          <w:numId w:val="0"/>
        </w:numPr>
        <w:bidi w:val="0"/>
        <w:ind w:left="1429" w:hanging="0"/>
        <w:jc w:val="left"/>
        <w:rPr>
          <w:b/>
          <w:b/>
          <w:bCs/>
          <w:sz w:val="30"/>
          <w:szCs w:val="30"/>
        </w:rPr>
      </w:pPr>
      <w:r>
        <w:rPr>
          <w:rStyle w:val="Accentuationforte"/>
          <w:b w:val="false"/>
          <w:bCs w:val="false"/>
          <w:sz w:val="26"/>
          <w:szCs w:val="26"/>
        </w:rPr>
        <w:t>Créer des fiches pour chaque employé avec les informations essentielles (données personnelles, coordonnées, rôle, compétences, expériences, etc.)</w:t>
      </w:r>
    </w:p>
    <w:p>
      <w:pPr>
        <w:pStyle w:val="Normal"/>
        <w:numPr>
          <w:ilvl w:val="0"/>
          <w:numId w:val="0"/>
        </w:numPr>
        <w:bidi w:val="0"/>
        <w:ind w:left="1429" w:hanging="0"/>
        <w:jc w:val="left"/>
        <w:rPr>
          <w:rStyle w:val="Accentuationforte"/>
          <w:b w:val="false"/>
          <w:b w:val="false"/>
          <w:bCs w:val="false"/>
          <w:sz w:val="24"/>
          <w:szCs w:val="24"/>
        </w:rPr>
      </w:pPr>
      <w:r>
        <w:rPr>
          <w:b/>
          <w:bCs/>
          <w:sz w:val="30"/>
          <w:szCs w:val="30"/>
        </w:rPr>
      </w:r>
    </w:p>
    <w:p>
      <w:pPr>
        <w:pStyle w:val="Normal"/>
        <w:numPr>
          <w:ilvl w:val="0"/>
          <w:numId w:val="1"/>
        </w:numPr>
        <w:bidi w:val="0"/>
        <w:jc w:val="left"/>
        <w:rPr>
          <w:b/>
          <w:b/>
          <w:bCs/>
          <w:sz w:val="30"/>
          <w:szCs w:val="30"/>
        </w:rPr>
      </w:pPr>
      <w:r>
        <w:rPr>
          <w:rStyle w:val="Accentuationforte"/>
          <w:sz w:val="28"/>
          <w:szCs w:val="28"/>
        </w:rPr>
        <w:t>Gestion des temps et présences</w:t>
      </w:r>
    </w:p>
    <w:p>
      <w:pPr>
        <w:pStyle w:val="Normal"/>
        <w:numPr>
          <w:ilvl w:val="0"/>
          <w:numId w:val="0"/>
        </w:numPr>
        <w:bidi w:val="0"/>
        <w:ind w:left="1429" w:hanging="0"/>
        <w:jc w:val="left"/>
        <w:rPr>
          <w:rStyle w:val="Accentuationforte"/>
          <w:sz w:val="26"/>
          <w:szCs w:val="26"/>
        </w:rPr>
      </w:pPr>
      <w:r>
        <w:rPr>
          <w:b/>
          <w:bCs/>
          <w:sz w:val="30"/>
          <w:szCs w:val="30"/>
        </w:rPr>
      </w:r>
    </w:p>
    <w:p>
      <w:pPr>
        <w:pStyle w:val="Normal"/>
        <w:numPr>
          <w:ilvl w:val="0"/>
          <w:numId w:val="0"/>
        </w:numPr>
        <w:bidi w:val="0"/>
        <w:ind w:left="1429" w:hanging="0"/>
        <w:jc w:val="left"/>
        <w:rPr>
          <w:b/>
          <w:b/>
          <w:bCs/>
          <w:sz w:val="30"/>
          <w:szCs w:val="30"/>
        </w:rPr>
      </w:pPr>
      <w:r>
        <w:rPr>
          <w:rStyle w:val="Accentuationforte"/>
          <w:b w:val="false"/>
          <w:bCs w:val="false"/>
          <w:sz w:val="26"/>
          <w:szCs w:val="26"/>
        </w:rPr>
        <w:t>Permettre le suivi des heures travaillées, des absences, des congés, et des heures supplémentaires.</w:t>
      </w:r>
    </w:p>
    <w:p>
      <w:pPr>
        <w:pStyle w:val="Normal"/>
        <w:numPr>
          <w:ilvl w:val="0"/>
          <w:numId w:val="0"/>
        </w:numPr>
        <w:bidi w:val="0"/>
        <w:ind w:left="1429" w:hanging="0"/>
        <w:jc w:val="left"/>
        <w:rPr>
          <w:rStyle w:val="Accentuationforte"/>
          <w:sz w:val="26"/>
          <w:szCs w:val="26"/>
        </w:rPr>
      </w:pPr>
      <w:r>
        <w:rPr>
          <w:b/>
          <w:bCs/>
          <w:sz w:val="30"/>
          <w:szCs w:val="30"/>
        </w:rPr>
      </w:r>
    </w:p>
    <w:p>
      <w:pPr>
        <w:pStyle w:val="Normal"/>
        <w:numPr>
          <w:ilvl w:val="0"/>
          <w:numId w:val="1"/>
        </w:numPr>
        <w:bidi w:val="0"/>
        <w:jc w:val="left"/>
        <w:rPr>
          <w:b/>
          <w:b/>
          <w:bCs/>
          <w:sz w:val="30"/>
          <w:szCs w:val="30"/>
        </w:rPr>
      </w:pPr>
      <w:r>
        <w:rPr>
          <w:rStyle w:val="Accentuationforte"/>
          <w:sz w:val="28"/>
          <w:szCs w:val="28"/>
        </w:rPr>
        <w:t>Gestion de la paie</w:t>
      </w:r>
    </w:p>
    <w:p>
      <w:pPr>
        <w:pStyle w:val="Normal"/>
        <w:numPr>
          <w:ilvl w:val="0"/>
          <w:numId w:val="0"/>
        </w:numPr>
        <w:bidi w:val="0"/>
        <w:ind w:left="1429" w:hanging="0"/>
        <w:jc w:val="left"/>
        <w:rPr>
          <w:rStyle w:val="Accentuationforte"/>
          <w:sz w:val="26"/>
          <w:szCs w:val="26"/>
        </w:rPr>
      </w:pPr>
      <w:r>
        <w:rPr>
          <w:b/>
          <w:bCs/>
          <w:sz w:val="30"/>
          <w:szCs w:val="30"/>
        </w:rPr>
      </w:r>
    </w:p>
    <w:p>
      <w:pPr>
        <w:pStyle w:val="Normal"/>
        <w:numPr>
          <w:ilvl w:val="0"/>
          <w:numId w:val="0"/>
        </w:numPr>
        <w:bidi w:val="0"/>
        <w:ind w:left="1429" w:hanging="0"/>
        <w:jc w:val="left"/>
        <w:rPr>
          <w:b/>
          <w:b/>
          <w:bCs/>
          <w:sz w:val="30"/>
          <w:szCs w:val="30"/>
        </w:rPr>
      </w:pPr>
      <w:r>
        <w:rPr>
          <w:rStyle w:val="Accentuationforte"/>
          <w:b w:val="false"/>
          <w:bCs w:val="false"/>
          <w:sz w:val="26"/>
          <w:szCs w:val="26"/>
        </w:rPr>
        <w:t>Calcul automatique des salaires en fonction des heures travaillées.</w:t>
      </w:r>
    </w:p>
    <w:p>
      <w:pPr>
        <w:pStyle w:val="Normal"/>
        <w:numPr>
          <w:ilvl w:val="0"/>
          <w:numId w:val="0"/>
        </w:numPr>
        <w:bidi w:val="0"/>
        <w:ind w:left="1429" w:hanging="0"/>
        <w:jc w:val="left"/>
        <w:rPr>
          <w:rStyle w:val="Accentuationforte"/>
          <w:b w:val="false"/>
          <w:b w:val="false"/>
          <w:bCs w:val="false"/>
          <w:sz w:val="26"/>
          <w:szCs w:val="26"/>
        </w:rPr>
      </w:pPr>
      <w:r>
        <w:rPr>
          <w:b/>
          <w:bCs/>
          <w:sz w:val="30"/>
          <w:szCs w:val="30"/>
        </w:rPr>
      </w:r>
    </w:p>
    <w:p>
      <w:pPr>
        <w:pStyle w:val="Normal"/>
        <w:numPr>
          <w:ilvl w:val="0"/>
          <w:numId w:val="1"/>
        </w:numPr>
        <w:bidi w:val="0"/>
        <w:jc w:val="left"/>
        <w:rPr>
          <w:b/>
          <w:b/>
          <w:bCs/>
          <w:sz w:val="30"/>
          <w:szCs w:val="30"/>
        </w:rPr>
      </w:pPr>
      <w:r>
        <w:rPr>
          <w:rStyle w:val="Accentuationforte"/>
          <w:sz w:val="28"/>
          <w:szCs w:val="28"/>
        </w:rPr>
        <w:t>Évaluation des performances</w:t>
      </w:r>
    </w:p>
    <w:p>
      <w:pPr>
        <w:pStyle w:val="Normal"/>
        <w:numPr>
          <w:ilvl w:val="0"/>
          <w:numId w:val="0"/>
        </w:numPr>
        <w:bidi w:val="0"/>
        <w:ind w:left="1429" w:hanging="0"/>
        <w:jc w:val="left"/>
        <w:rPr>
          <w:rStyle w:val="Accentuationforte"/>
          <w:sz w:val="26"/>
          <w:szCs w:val="26"/>
        </w:rPr>
      </w:pPr>
      <w:r>
        <w:rPr>
          <w:b/>
          <w:bCs/>
          <w:sz w:val="30"/>
          <w:szCs w:val="30"/>
        </w:rPr>
      </w:r>
    </w:p>
    <w:p>
      <w:pPr>
        <w:pStyle w:val="Normal"/>
        <w:numPr>
          <w:ilvl w:val="0"/>
          <w:numId w:val="0"/>
        </w:numPr>
        <w:bidi w:val="0"/>
        <w:ind w:left="1429" w:hanging="0"/>
        <w:jc w:val="left"/>
        <w:rPr>
          <w:rStyle w:val="Accentuationforte"/>
          <w:b w:val="false"/>
          <w:b w:val="false"/>
          <w:bCs w:val="false"/>
          <w:sz w:val="26"/>
          <w:szCs w:val="26"/>
        </w:rPr>
      </w:pPr>
      <w:r>
        <w:rPr>
          <w:b/>
          <w:bCs/>
          <w:sz w:val="30"/>
          <w:szCs w:val="30"/>
        </w:rPr>
      </w:r>
    </w:p>
    <w:p>
      <w:pPr>
        <w:pStyle w:val="Normal"/>
        <w:numPr>
          <w:ilvl w:val="1"/>
          <w:numId w:val="1"/>
        </w:numPr>
        <w:bidi w:val="0"/>
        <w:jc w:val="left"/>
        <w:rPr>
          <w:b/>
          <w:b/>
          <w:bCs/>
          <w:sz w:val="30"/>
          <w:szCs w:val="30"/>
        </w:rPr>
      </w:pPr>
      <w:r>
        <w:rPr>
          <w:rStyle w:val="Accentuationforte"/>
          <w:b w:val="false"/>
          <w:bCs w:val="false"/>
          <w:sz w:val="26"/>
          <w:szCs w:val="26"/>
        </w:rPr>
        <w:t>Affichage des performances des collaborateurs (Informations à récupérer depuis les outils de gestion des tâches).</w:t>
      </w:r>
      <w:r>
        <w:rPr>
          <w:rStyle w:val="Accentuationforte"/>
          <w:b w:val="false"/>
          <w:bCs w:val="false"/>
          <w:sz w:val="26"/>
          <w:szCs w:val="26"/>
        </w:rPr>
        <w:t xml:space="preserve"> </w:t>
      </w:r>
    </w:p>
    <w:p>
      <w:pPr>
        <w:pStyle w:val="Normal"/>
        <w:numPr>
          <w:ilvl w:val="1"/>
          <w:numId w:val="1"/>
        </w:numPr>
        <w:bidi w:val="0"/>
        <w:jc w:val="left"/>
        <w:rPr>
          <w:b/>
          <w:b/>
          <w:bCs/>
          <w:sz w:val="30"/>
          <w:szCs w:val="30"/>
        </w:rPr>
      </w:pPr>
      <w:r>
        <w:rPr>
          <w:rStyle w:val="Accentuationforte"/>
          <w:b w:val="false"/>
          <w:bCs w:val="false"/>
          <w:sz w:val="26"/>
          <w:szCs w:val="26"/>
        </w:rPr>
        <w:t>F</w:t>
      </w:r>
      <w:r>
        <w:rPr>
          <w:rStyle w:val="Accentuationforte"/>
          <w:b w:val="false"/>
          <w:bCs w:val="false"/>
          <w:sz w:val="26"/>
          <w:szCs w:val="26"/>
        </w:rPr>
        <w:t>ix</w:t>
      </w:r>
      <w:r>
        <w:rPr>
          <w:rStyle w:val="Accentuationforte"/>
          <w:b w:val="false"/>
          <w:bCs w:val="false"/>
          <w:sz w:val="26"/>
          <w:szCs w:val="26"/>
        </w:rPr>
        <w:t>er</w:t>
      </w:r>
      <w:r>
        <w:rPr>
          <w:rStyle w:val="Accentuationforte"/>
          <w:b w:val="false"/>
          <w:bCs w:val="false"/>
          <w:sz w:val="26"/>
          <w:szCs w:val="26"/>
        </w:rPr>
        <w:t xml:space="preserve"> </w:t>
      </w:r>
      <w:r>
        <w:rPr>
          <w:rStyle w:val="Accentuationforte"/>
          <w:b w:val="false"/>
          <w:bCs w:val="false"/>
          <w:sz w:val="26"/>
          <w:szCs w:val="26"/>
        </w:rPr>
        <w:t xml:space="preserve">les </w:t>
      </w:r>
      <w:r>
        <w:rPr>
          <w:rStyle w:val="Accentuationforte"/>
          <w:b w:val="false"/>
          <w:bCs w:val="false"/>
          <w:sz w:val="26"/>
          <w:szCs w:val="26"/>
        </w:rPr>
        <w:t xml:space="preserve">objectifs </w:t>
      </w:r>
      <w:r>
        <w:rPr>
          <w:rStyle w:val="Accentuationforte"/>
          <w:b w:val="false"/>
          <w:bCs w:val="false"/>
          <w:sz w:val="26"/>
          <w:szCs w:val="26"/>
        </w:rPr>
        <w:t>par département et par collaborateurs</w:t>
      </w:r>
      <w:r>
        <w:rPr>
          <w:rStyle w:val="Accentuationforte"/>
          <w:b w:val="false"/>
          <w:bCs w:val="false"/>
          <w:sz w:val="26"/>
          <w:szCs w:val="26"/>
        </w:rPr>
        <w:t xml:space="preserve">. </w:t>
      </w:r>
    </w:p>
    <w:p>
      <w:pPr>
        <w:pStyle w:val="Normal"/>
        <w:numPr>
          <w:ilvl w:val="1"/>
          <w:numId w:val="1"/>
        </w:numPr>
        <w:bidi w:val="0"/>
        <w:jc w:val="left"/>
        <w:rPr>
          <w:b/>
          <w:b/>
          <w:bCs/>
          <w:sz w:val="30"/>
          <w:szCs w:val="30"/>
        </w:rPr>
      </w:pPr>
      <w:r>
        <w:rPr>
          <w:rStyle w:val="Accentuationforte"/>
          <w:b w:val="false"/>
          <w:bCs w:val="false"/>
          <w:sz w:val="26"/>
          <w:szCs w:val="26"/>
        </w:rPr>
        <w:t>Évaluations périodiques des collaborateurs</w:t>
      </w:r>
    </w:p>
    <w:p>
      <w:pPr>
        <w:pStyle w:val="Normal"/>
        <w:numPr>
          <w:ilvl w:val="0"/>
          <w:numId w:val="0"/>
        </w:numPr>
        <w:bidi w:val="0"/>
        <w:ind w:left="1429" w:hanging="0"/>
        <w:jc w:val="left"/>
        <w:rPr>
          <w:rStyle w:val="Accentuationforte"/>
          <w:b w:val="false"/>
          <w:b w:val="false"/>
          <w:bCs w:val="false"/>
          <w:sz w:val="26"/>
          <w:szCs w:val="26"/>
        </w:rPr>
      </w:pPr>
      <w:r>
        <w:rPr>
          <w:b/>
          <w:bCs/>
          <w:sz w:val="30"/>
          <w:szCs w:val="30"/>
        </w:rPr>
      </w:r>
    </w:p>
    <w:p>
      <w:pPr>
        <w:pStyle w:val="Normal"/>
        <w:numPr>
          <w:ilvl w:val="0"/>
          <w:numId w:val="1"/>
        </w:numPr>
        <w:bidi w:val="0"/>
        <w:jc w:val="left"/>
        <w:rPr>
          <w:b/>
          <w:b/>
          <w:bCs/>
          <w:sz w:val="30"/>
          <w:szCs w:val="30"/>
        </w:rPr>
      </w:pPr>
      <w:r>
        <w:rPr>
          <w:rStyle w:val="Accentuationforte"/>
          <w:sz w:val="28"/>
          <w:szCs w:val="28"/>
        </w:rPr>
        <w:t>Gestion des formations et des compétence</w:t>
      </w:r>
      <w:r>
        <w:rPr>
          <w:rStyle w:val="Accentuationforte"/>
          <w:sz w:val="28"/>
          <w:szCs w:val="28"/>
        </w:rPr>
        <w:t>s</w:t>
      </w:r>
    </w:p>
    <w:p>
      <w:pPr>
        <w:pStyle w:val="Normal"/>
        <w:numPr>
          <w:ilvl w:val="0"/>
          <w:numId w:val="0"/>
        </w:numPr>
        <w:bidi w:val="0"/>
        <w:ind w:left="1429" w:hanging="0"/>
        <w:jc w:val="left"/>
        <w:rPr>
          <w:rStyle w:val="Accentuationforte"/>
          <w:sz w:val="26"/>
          <w:szCs w:val="26"/>
        </w:rPr>
      </w:pPr>
      <w:r>
        <w:rPr>
          <w:b/>
          <w:bCs/>
          <w:sz w:val="30"/>
          <w:szCs w:val="30"/>
        </w:rPr>
      </w:r>
    </w:p>
    <w:p>
      <w:pPr>
        <w:pStyle w:val="Normal"/>
        <w:numPr>
          <w:ilvl w:val="0"/>
          <w:numId w:val="0"/>
        </w:numPr>
        <w:bidi w:val="0"/>
        <w:ind w:left="1429" w:hanging="0"/>
        <w:jc w:val="left"/>
        <w:rPr>
          <w:b/>
          <w:b/>
          <w:bCs/>
          <w:sz w:val="30"/>
          <w:szCs w:val="30"/>
        </w:rPr>
      </w:pPr>
      <w:r>
        <w:rPr>
          <w:rStyle w:val="Accentuationforte"/>
          <w:b w:val="false"/>
          <w:bCs w:val="false"/>
          <w:sz w:val="26"/>
          <w:szCs w:val="26"/>
        </w:rPr>
        <w:t>Suivi des formations internes et externes, gestion des certifications, et cartographie des compétences.</w:t>
      </w:r>
    </w:p>
    <w:p>
      <w:pPr>
        <w:pStyle w:val="Normal"/>
        <w:bidi w:val="0"/>
        <w:jc w:val="left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sz w:val="32"/>
          <w:szCs w:val="32"/>
        </w:rPr>
      </w:pPr>
      <w:r>
        <w:rPr>
          <w:b/>
          <w:bCs/>
          <w:sz w:val="32"/>
          <w:szCs w:val="32"/>
        </w:rPr>
        <w:t>Module Finance (Comptabilité)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sz w:val="32"/>
          <w:szCs w:val="32"/>
        </w:rPr>
      </w:r>
    </w:p>
    <w:p>
      <w:pPr>
        <w:pStyle w:val="Normal"/>
        <w:numPr>
          <w:ilvl w:val="0"/>
          <w:numId w:val="4"/>
        </w:numPr>
        <w:bidi w:val="0"/>
        <w:jc w:val="left"/>
        <w:rPr/>
      </w:pPr>
      <w:r>
        <w:rPr>
          <w:rStyle w:val="Accentuationforte"/>
          <w:sz w:val="28"/>
          <w:szCs w:val="28"/>
        </w:rPr>
        <w:t>Suivi des dépenses et des budgets</w:t>
      </w:r>
    </w:p>
    <w:p>
      <w:pPr>
        <w:pStyle w:val="Normal"/>
        <w:numPr>
          <w:ilvl w:val="0"/>
          <w:numId w:val="0"/>
        </w:numPr>
        <w:bidi w:val="0"/>
        <w:ind w:left="1440" w:hanging="0"/>
        <w:jc w:val="left"/>
        <w:rPr>
          <w:rStyle w:val="Accentuationforte"/>
          <w:sz w:val="28"/>
          <w:szCs w:val="28"/>
        </w:rPr>
      </w:pPr>
      <w:r>
        <w:rPr/>
      </w:r>
    </w:p>
    <w:p>
      <w:pPr>
        <w:pStyle w:val="Normal"/>
        <w:numPr>
          <w:ilvl w:val="0"/>
          <w:numId w:val="0"/>
        </w:numPr>
        <w:bidi w:val="0"/>
        <w:ind w:left="1440" w:hanging="0"/>
        <w:jc w:val="left"/>
        <w:rPr>
          <w:b/>
          <w:b/>
          <w:bCs/>
          <w:sz w:val="30"/>
          <w:szCs w:val="30"/>
        </w:rPr>
      </w:pPr>
      <w:r>
        <w:rPr>
          <w:rStyle w:val="Accentuationforte"/>
          <w:b w:val="false"/>
          <w:bCs w:val="false"/>
          <w:sz w:val="26"/>
          <w:szCs w:val="26"/>
        </w:rPr>
        <w:t>Suivi des coûts des projets, analyse des écarts budgétaires, et gestion des dépenses internes.</w:t>
      </w:r>
    </w:p>
    <w:p>
      <w:pPr>
        <w:pStyle w:val="Normal"/>
        <w:numPr>
          <w:ilvl w:val="0"/>
          <w:numId w:val="0"/>
        </w:numPr>
        <w:bidi w:val="0"/>
        <w:ind w:left="1440" w:hanging="0"/>
        <w:jc w:val="left"/>
        <w:rPr>
          <w:rStyle w:val="Accentuationforte"/>
          <w:b w:val="false"/>
          <w:b w:val="false"/>
          <w:bCs w:val="false"/>
          <w:sz w:val="26"/>
          <w:szCs w:val="26"/>
        </w:rPr>
      </w:pPr>
      <w:r>
        <w:rPr>
          <w:b/>
          <w:bCs/>
          <w:sz w:val="30"/>
          <w:szCs w:val="30"/>
        </w:rPr>
      </w:r>
    </w:p>
    <w:p>
      <w:pPr>
        <w:pStyle w:val="Normal"/>
        <w:numPr>
          <w:ilvl w:val="0"/>
          <w:numId w:val="4"/>
        </w:numPr>
        <w:bidi w:val="0"/>
        <w:jc w:val="left"/>
        <w:rPr/>
      </w:pPr>
      <w:r>
        <w:rPr>
          <w:rStyle w:val="Accentuationforte"/>
          <w:sz w:val="28"/>
          <w:szCs w:val="28"/>
        </w:rPr>
        <w:t>Reporting financier</w:t>
      </w:r>
    </w:p>
    <w:p>
      <w:pPr>
        <w:pStyle w:val="Normal"/>
        <w:numPr>
          <w:ilvl w:val="0"/>
          <w:numId w:val="0"/>
        </w:numPr>
        <w:bidi w:val="0"/>
        <w:ind w:left="1440" w:hanging="0"/>
        <w:jc w:val="left"/>
        <w:rPr>
          <w:rStyle w:val="Accentuationforte"/>
          <w:sz w:val="28"/>
          <w:szCs w:val="28"/>
        </w:rPr>
      </w:pPr>
      <w:r>
        <w:rPr/>
      </w:r>
    </w:p>
    <w:p>
      <w:pPr>
        <w:pStyle w:val="Normal"/>
        <w:numPr>
          <w:ilvl w:val="0"/>
          <w:numId w:val="0"/>
        </w:numPr>
        <w:bidi w:val="0"/>
        <w:ind w:left="1440" w:hanging="0"/>
        <w:jc w:val="left"/>
        <w:rPr>
          <w:b/>
          <w:b/>
          <w:bCs/>
          <w:sz w:val="30"/>
          <w:szCs w:val="30"/>
        </w:rPr>
      </w:pPr>
      <w:r>
        <w:rPr>
          <w:rStyle w:val="Accentuationforte"/>
          <w:b w:val="false"/>
          <w:bCs w:val="false"/>
          <w:sz w:val="26"/>
          <w:szCs w:val="26"/>
        </w:rPr>
        <w:t xml:space="preserve">Génération </w:t>
      </w:r>
      <w:r>
        <w:rPr>
          <w:rStyle w:val="Accentuationforte"/>
          <w:b w:val="false"/>
          <w:bCs w:val="false"/>
          <w:sz w:val="26"/>
          <w:szCs w:val="26"/>
        </w:rPr>
        <w:t>de</w:t>
      </w:r>
      <w:r>
        <w:rPr>
          <w:rStyle w:val="Accentuationforte"/>
          <w:b w:val="false"/>
          <w:bCs w:val="false"/>
          <w:sz w:val="26"/>
          <w:szCs w:val="26"/>
        </w:rPr>
        <w:t xml:space="preserve"> tableaux de bord financiers pour visualiser les indicateurs clés (ex. : marges, rentabilité des projets).</w:t>
      </w:r>
    </w:p>
    <w:p>
      <w:pPr>
        <w:pStyle w:val="Normal"/>
        <w:numPr>
          <w:ilvl w:val="0"/>
          <w:numId w:val="0"/>
        </w:numPr>
        <w:bidi w:val="0"/>
        <w:ind w:left="1440" w:hanging="0"/>
        <w:jc w:val="left"/>
        <w:rPr>
          <w:rStyle w:val="Accentuationforte"/>
          <w:b w:val="false"/>
          <w:b w:val="false"/>
          <w:bCs w:val="false"/>
          <w:sz w:val="26"/>
          <w:szCs w:val="26"/>
        </w:rPr>
      </w:pPr>
      <w:r>
        <w:rPr>
          <w:b/>
          <w:bCs/>
          <w:sz w:val="30"/>
          <w:szCs w:val="30"/>
        </w:rPr>
      </w:r>
    </w:p>
    <w:p>
      <w:pPr>
        <w:pStyle w:val="Normal"/>
        <w:numPr>
          <w:ilvl w:val="0"/>
          <w:numId w:val="4"/>
        </w:numPr>
        <w:bidi w:val="0"/>
        <w:jc w:val="left"/>
        <w:rPr/>
      </w:pPr>
      <w:r>
        <w:rPr>
          <w:rStyle w:val="Accentuationforte"/>
          <w:sz w:val="28"/>
          <w:szCs w:val="28"/>
        </w:rPr>
        <w:t>Prévision et gestion de trésorerie</w:t>
      </w:r>
    </w:p>
    <w:p>
      <w:pPr>
        <w:pStyle w:val="Normal"/>
        <w:numPr>
          <w:ilvl w:val="0"/>
          <w:numId w:val="0"/>
        </w:numPr>
        <w:bidi w:val="0"/>
        <w:ind w:left="1440" w:hanging="0"/>
        <w:jc w:val="left"/>
        <w:rPr>
          <w:rStyle w:val="Accentuationforte"/>
          <w:sz w:val="28"/>
          <w:szCs w:val="28"/>
        </w:rPr>
      </w:pPr>
      <w:r>
        <w:rPr/>
      </w:r>
    </w:p>
    <w:p>
      <w:pPr>
        <w:pStyle w:val="Normal"/>
        <w:numPr>
          <w:ilvl w:val="0"/>
          <w:numId w:val="0"/>
        </w:numPr>
        <w:bidi w:val="0"/>
        <w:ind w:left="1440" w:hanging="0"/>
        <w:jc w:val="left"/>
        <w:rPr>
          <w:b/>
          <w:b/>
          <w:bCs/>
          <w:sz w:val="30"/>
          <w:szCs w:val="30"/>
        </w:rPr>
      </w:pPr>
      <w:r>
        <w:rPr>
          <w:rStyle w:val="Accentuationforte"/>
          <w:b w:val="false"/>
          <w:bCs w:val="false"/>
          <w:sz w:val="26"/>
          <w:szCs w:val="26"/>
        </w:rPr>
        <w:t>Estimation des flux de trésorerie futurs, gestion des liquidités.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178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2149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286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3229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394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4309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Accentuationforte">
    <w:name w:val="Accentuation forte"/>
    <w:qFormat/>
    <w:rPr>
      <w:b/>
      <w:bCs/>
    </w:rPr>
  </w:style>
  <w:style w:type="character" w:styleId="Caractresdenumrotation">
    <w:name w:val="Caractères de numérotation"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LibreOffice/7.3.7.2$Linux_X86_64 LibreOffice_project/30$Build-2</Application>
  <AppVersion>15.0000</AppVersion>
  <Pages>1</Pages>
  <Words>210</Words>
  <Characters>1165</Characters>
  <CharactersWithSpaces>1325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2024-11-06T11:47:19Z</dcterms:created>
  <dc:creator/>
  <dc:description/>
  <dc:language>fr-FR</dc:language>
  <cp:lastModifiedBy/>
  <dcterms:modified xsi:type="dcterms:W3CDTF">2024-11-06T12:07:17Z</dcterms:modified>
  <cp:revision>1</cp:revision>
  <dc:subject/>
  <dc:title/>
</cp:coreProperties>
</file>