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b/>
          <w:bCs/>
          <w:color w:val="1F3864"/>
          <w:sz w:val="44"/>
          <w:szCs w:val="44"/>
        </w:rPr>
        <w:t xml:space="preserve">ANALYSE DE MODULARISATION</w:t>
      </w:r>
    </w:p>
    <w:p>
      <w:pPr>
        <w:spacing w:after="100" w:before="200"/>
        <w:jc w:val="center"/>
      </w:pPr>
      <w:r>
        <w:rPr>
          <w:b/>
          <w:bCs/>
          <w:color w:val="2E5395"/>
          <w:sz w:val="32"/>
          <w:szCs w:val="32"/>
        </w:rPr>
        <w:t xml:space="preserve">Architecture applicative multi-tenant</w:t>
      </w:r>
    </w:p>
    <w:p>
      <w:pPr>
        <w:spacing w:after="800" w:before="100"/>
        <w:jc w:val="center"/>
      </w:pPr>
      <w:r>
        <w:rPr>
          <w:i/>
          <w:iCs/>
          <w:color w:val="595959"/>
          <w:sz w:val="26"/>
          <w:szCs w:val="26"/>
        </w:rPr>
        <w:t xml:space="preserve">Modules transversaux vs. modules métier autonomes</w:t>
      </w:r>
    </w:p>
    <w:p>
      <w:pPr>
        <w:pBdr>
          <w:top w:val="single" w:color="1F3864" w:sz="4" w:space="8"/>
        </w:pBdr>
        <w:spacing w:before="2400"/>
        <w:jc w:val="center"/>
      </w:pPr>
      <w:r>
        <w:rPr>
          <w:color w:val="595959"/>
          <w:sz w:val="22"/>
          <w:szCs w:val="22"/>
        </w:rPr>
        <w:t xml:space="preserve">Document de travail — Cartographie des dépendances entre modules</w:t>
      </w:r>
    </w:p>
    <w:p>
      <w:pPr>
        <w:spacing w:before="100"/>
        <w:jc w:val="center"/>
      </w:pPr>
      <w:r>
        <w:rPr>
          <w:color w:val="595959"/>
          <w:sz w:val="22"/>
          <w:szCs w:val="22"/>
        </w:rPr>
        <w:t xml:space="preserve">Généré à partir d'une analyse statique du code source (63 modules applicatifs)</w:t>
      </w:r>
    </w:p>
    <w:p>
      <w:pPr>
        <w:spacing w:before="100"/>
        <w:jc w:val="center"/>
      </w:pPr>
      <w:r>
        <w:rPr>
          <w:color w:val="595959"/>
          <w:sz w:val="22"/>
          <w:szCs w:val="22"/>
        </w:rPr>
        <w:t xml:space="preserve">19 août 2026</w:t>
      </w:r>
    </w:p>
    <w:p>
      <w:r>
        <w:br w:type="page"/>
      </w:r>
    </w:p>
    <w:p>
      <w:pPr>
        <w:pStyle w:val="Heading1"/>
        <w:pBdr>
          <w:bottom w:val="single" w:color="1F3864" w:sz="6" w:space="4"/>
        </w:pBdr>
        <w:spacing w:after="200" w:before="400"/>
      </w:pPr>
      <w:r>
        <w:rPr>
          <w:b/>
          <w:bCs/>
          <w:color w:val="1F3864"/>
          <w:sz w:val="30"/>
          <w:szCs w:val="30"/>
        </w:rPr>
        <w:t xml:space="preserve">1. Objectif du document</w:t>
      </w:r>
    </w:p>
    <w:p>
      <w:pPr>
        <w:spacing w:after="160" w:line="288"/>
      </w:pPr>
      <w:r>
        <w:rPr>
          <w:sz w:val="22"/>
          <w:szCs w:val="22"/>
        </w:rPr>
        <w:t xml:space="preserve">Le projet applicatif compte aujourd'hui 63 modules fonctionnels organisés sous une architecture multi-tenant (Laravel, package stancl/tenancy). La question posée est simple à formuler mais structurante pour l'architecture future : quels modules peuvent devenir des « modules » au sens strict — activables/désactivables, potentiellement packagés séparément, réutilisables tels quels — et quels modules constituent au contraire un socle transversal dont dépend le reste de l'application ?</w:t>
      </w:r>
    </w:p>
    <w:p>
      <w:pPr>
        <w:spacing w:after="160" w:line="288"/>
      </w:pPr>
      <w:r>
        <w:rPr>
          <w:sz w:val="22"/>
          <w:szCs w:val="22"/>
        </w:rPr>
        <w:t xml:space="preserve">Ce document répond à cette question à partir d'une analyse objective du code (et non d'une simple intuition métier) : on mesure, pour chaque module, combien d'autres modules l'utilisent réellement (import de ses classes, modèles, énumérations). Cette mesure est ensuite confrontée à la logique métier déjà en place dans le projet, qui possède d'ailleurs déjà l'amorce d'un système de modules activables par tenant (voir section 5).</w:t>
      </w:r>
    </w:p>
    <w:p>
      <w:pPr>
        <w:spacing w:after="160" w:line="288"/>
      </w:pPr>
      <w:r>
        <w:rPr>
          <w:b/>
          <w:bCs/>
          <w:sz w:val="22"/>
          <w:szCs w:val="22"/>
        </w:rPr>
        <w:t xml:space="preserve">Exemple donné en référence : </w:t>
      </w:r>
      <w:r>
        <w:rPr>
          <w:sz w:val="22"/>
          <w:szCs w:val="22"/>
        </w:rPr>
        <w:t xml:space="preserve">Product / ProductSaleElement et Contact sont utilisés par presque tous les autres modules (Shop, Invoice, Estimate, Pipeline, Project…). Ce sont donc des modules transversaux : ils ne peuvent pas être « désinstallés » sans casser une grande partie de l'application, même s'ils restent, sur le papier, des modules distincts.</w:t>
      </w:r>
    </w:p>
    <w:p>
      <w:pPr>
        <w:pStyle w:val="Heading1"/>
        <w:pBdr>
          <w:bottom w:val="single" w:color="1F3864" w:sz="6" w:space="4"/>
        </w:pBdr>
        <w:spacing w:after="200" w:before="400"/>
      </w:pPr>
      <w:r>
        <w:rPr>
          <w:b/>
          <w:bCs/>
          <w:color w:val="1F3864"/>
          <w:sz w:val="30"/>
          <w:szCs w:val="30"/>
        </w:rPr>
        <w:t xml:space="preserve">2. Méthodologie</w:t>
      </w:r>
    </w:p>
    <w:p>
      <w:pPr>
        <w:pStyle w:val="Heading2"/>
        <w:spacing w:after="160" w:before="320"/>
      </w:pPr>
      <w:r>
        <w:rPr>
          <w:b/>
          <w:bCs/>
          <w:color w:val="2E5395"/>
          <w:sz w:val="25"/>
          <w:szCs w:val="25"/>
        </w:rPr>
        <w:t xml:space="preserve">2.1 Analyse statique des dépendances</w:t>
      </w:r>
    </w:p>
    <w:p>
      <w:pPr>
        <w:pStyle w:val="ListParagraph"/>
        <w:numPr>
          <w:ilvl w:val="0"/>
          <w:numId w:val="2"/>
        </w:numPr>
        <w:spacing w:after="90" w:line="276"/>
      </w:pPr>
      <w:r>
        <w:rPr>
          <w:sz w:val="22"/>
          <w:szCs w:val="22"/>
        </w:rPr>
        <w:t xml:space="preserve">Chaque module vit sous app/v1/&lt;NomDuModule&gt; avec son propre ServiceProvider, ses modèles, ses routes et ses migrations — la séparation physique existe déjà pour les 63 modules.</w:t>
      </w:r>
    </w:p>
    <w:p>
      <w:pPr>
        <w:pStyle w:val="ListParagraph"/>
        <w:numPr>
          <w:ilvl w:val="0"/>
          <w:numId w:val="2"/>
        </w:numPr>
        <w:spacing w:after="90" w:line="276"/>
      </w:pPr>
      <w:r>
        <w:rPr>
          <w:sz w:val="22"/>
          <w:szCs w:val="22"/>
        </w:rPr>
        <w:t xml:space="preserve">Pour chaque module, on a recherché dans son code toutes les références vers les classes d'un autre module (namespace Core\v1\&lt;Module&gt;\...).</w:t>
      </w:r>
    </w:p>
    <w:p>
      <w:pPr>
        <w:pStyle w:val="ListParagraph"/>
        <w:numPr>
          <w:ilvl w:val="0"/>
          <w:numId w:val="2"/>
        </w:numPr>
        <w:spacing w:after="90" w:line="276"/>
      </w:pPr>
      <w:r>
        <w:rPr>
          <w:sz w:val="22"/>
          <w:szCs w:val="22"/>
        </w:rPr>
        <w:t xml:space="preserve">On en déduit deux indicateurs par module :</w:t>
      </w:r>
    </w:p>
    <w:p>
      <w:pPr>
        <w:pStyle w:val="ListParagraph"/>
        <w:numPr>
          <w:ilvl w:val="1"/>
          <w:numId w:val="2"/>
        </w:numPr>
        <w:spacing w:after="90" w:line="276"/>
      </w:pPr>
      <w:r>
        <w:rPr>
          <w:sz w:val="22"/>
          <w:szCs w:val="22"/>
        </w:rPr>
        <w:t xml:space="preserve">Degré entrant (« in-degree ») : nombre d'autres modules qui dépendent de lui. Plus il est élevé, plus le module est transversal / difficile à isoler.</w:t>
      </w:r>
    </w:p>
    <w:p>
      <w:pPr>
        <w:pStyle w:val="ListParagraph"/>
        <w:numPr>
          <w:ilvl w:val="1"/>
          <w:numId w:val="2"/>
        </w:numPr>
        <w:spacing w:after="90" w:line="276"/>
      </w:pPr>
      <w:r>
        <w:rPr>
          <w:sz w:val="22"/>
          <w:szCs w:val="22"/>
        </w:rPr>
        <w:t xml:space="preserve">Degré sortant (« out-degree ») : nombre de modules dont il dépend lui-même. Plus il est élevé, plus le module est « consommateur » et coûteux à extraire isolément.</w:t>
      </w:r>
    </w:p>
    <w:p>
      <w:pPr>
        <w:pStyle w:val="Heading2"/>
        <w:spacing w:after="160" w:before="320"/>
      </w:pPr>
      <w:r>
        <w:rPr>
          <w:b/>
          <w:bCs/>
          <w:color w:val="2E5395"/>
          <w:sz w:val="25"/>
          <w:szCs w:val="25"/>
        </w:rPr>
        <w:t xml:space="preserve">2.2 Recoupement avec le système de modules existant</w:t>
      </w:r>
    </w:p>
    <w:p>
      <w:pPr>
        <w:spacing w:after="160" w:line="288"/>
      </w:pPr>
      <w:r>
        <w:rPr>
          <w:sz w:val="22"/>
          <w:szCs w:val="22"/>
        </w:rPr>
        <w:t xml:space="preserve">Le code contient déjà une classe d'énumération centrale — SuitModulesEnum (module Core\v1\Module) — qui liste les fonctionnalités activables par tenant (ex. CONTACT, STOCK_ARTICLE, CRM_PIPELINE, RH_PAYSLIP, EVENT_PORTAL…) et leur assortit un ensemble de permissions. Cette énumération constitue une première tentative de modularisation fonctionnelle, mais à un niveau « permissions/UI » plutôt qu'au niveau « package technique déployable indépendamment ». Ce document s'appuie sur ce référentiel existant pour nommer et regrouper les modules métier (section 6).</w:t>
      </w:r>
    </w:p>
    <w:p>
      <w:pPr>
        <w:spacing w:after="160" w:line="288"/>
      </w:pPr>
      <w:r>
        <w:rPr>
          <w:sz w:val="22"/>
          <w:szCs w:val="22"/>
        </w:rPr>
        <w:t xml:space="preserve">Un point de méthode important : dans defaultPermissions(), le code définit lui-même un socle de permissions toujours actif — Société, Bureau, Utilisateur, Droits, Configuration mail, SMTP — ce qui confirme, indépendamment de notre analyse de dépendances, que Society, User et Setting forment déjà un noyau non désactivable dans la logique métier actuelle.</w:t>
      </w:r>
    </w:p>
    <w:p>
      <w:pPr>
        <w:pStyle w:val="Heading2"/>
        <w:spacing w:after="160" w:before="320"/>
      </w:pPr>
      <w:r>
        <w:rPr>
          <w:b/>
          <w:bCs/>
          <w:color w:val="2E5395"/>
          <w:sz w:val="25"/>
          <w:szCs w:val="25"/>
        </w:rPr>
        <w:t xml:space="preserve">2.3 Seuils de classification retenus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2600"/>
        <w:gridCol w:w="3800"/>
      </w:tblGrid>
      <w:tr>
        <w:trPr>
          <w:tblHeader/>
        </w:trPr>
        <w:tc>
          <w:tcPr>
            <w:tcW w:type="dxa" w:w="3200"/>
            <w:shd w:fill="1F3864" w:color="auto" w:val="clear"/>
            <w:tcMar>
              <w:top w:type="dxa" w:w="80"/>
              <w:left w:type="dxa" w:w="100"/>
              <w:bottom w:type="dxa" w:w="80"/>
              <w:right w:type="dxa" w:w="100"/>
            </w:tcMar>
          </w:tcPr>
          <w:p>
            <w:pPr>
              <w:jc w:val="center"/>
            </w:pPr>
            <w:r>
              <w:rPr>
                <w:b/>
                <w:bCs/>
                <w:color w:val="FFFFFF"/>
                <w:sz w:val="20"/>
                <w:szCs w:val="20"/>
              </w:rPr>
              <w:t xml:space="preserve">Catégorie</w:t>
            </w:r>
          </w:p>
        </w:tc>
        <w:tc>
          <w:tcPr>
            <w:tcW w:type="dxa" w:w="2600"/>
            <w:shd w:fill="1F3864" w:color="auto" w:val="clear"/>
            <w:tcMar>
              <w:top w:type="dxa" w:w="80"/>
              <w:left w:type="dxa" w:w="100"/>
              <w:bottom w:type="dxa" w:w="80"/>
              <w:right w:type="dxa" w:w="100"/>
            </w:tcMar>
          </w:tcPr>
          <w:p>
            <w:pPr>
              <w:jc w:val="center"/>
            </w:pPr>
            <w:r>
              <w:rPr>
                <w:b/>
                <w:bCs/>
                <w:color w:val="FFFFFF"/>
                <w:sz w:val="20"/>
                <w:szCs w:val="20"/>
              </w:rPr>
              <w:t xml:space="preserve">Critère (degré entrant)</w:t>
            </w:r>
          </w:p>
        </w:tc>
        <w:tc>
          <w:tcPr>
            <w:tcW w:type="dxa" w:w="3800"/>
            <w:shd w:fill="1F3864" w:color="auto" w:val="clear"/>
            <w:tcMar>
              <w:top w:type="dxa" w:w="80"/>
              <w:left w:type="dxa" w:w="100"/>
              <w:bottom w:type="dxa" w:w="80"/>
              <w:right w:type="dxa" w:w="100"/>
            </w:tcMar>
          </w:tcPr>
          <w:p>
            <w:pPr>
              <w:jc w:val="center"/>
            </w:pPr>
            <w:r>
              <w:rPr>
                <w:b/>
                <w:bCs/>
                <w:color w:val="FFFFFF"/>
                <w:sz w:val="20"/>
                <w:szCs w:val="20"/>
              </w:rPr>
              <w:t xml:space="preserve">Signification</w:t>
            </w:r>
          </w:p>
        </w:tc>
      </w:tr>
      <w:tr>
        <w:tc>
          <w:tcPr>
            <w:tcW w:type="dxa" w:w="3200"/>
            <w:shd w:fill="FFFFFF" w:color="auto" w:val="clear"/>
            <w:tcMar>
              <w:top w:type="dxa" w:w="80"/>
              <w:left w:type="dxa" w:w="100"/>
              <w:bottom w:type="dxa" w:w="80"/>
              <w:right w:type="dxa" w:w="100"/>
            </w:tcMar>
          </w:tcPr>
          <w:p>
            <w:pPr>
              <w:jc w:val="left"/>
            </w:pPr>
            <w:r>
              <w:rPr>
                <w:b w:val="false"/>
                <w:bCs w:val="false"/>
                <w:color w:val="000000"/>
                <w:sz w:val="20"/>
                <w:szCs w:val="20"/>
              </w:rPr>
              <w:t xml:space="preserve">Noyau transversal</w:t>
            </w:r>
          </w:p>
        </w:tc>
        <w:tc>
          <w:tcPr>
            <w:tcW w:type="dxa" w:w="2600"/>
            <w:shd w:fill="FFFFFF" w:color="auto" w:val="clear"/>
            <w:tcMar>
              <w:top w:type="dxa" w:w="80"/>
              <w:left w:type="dxa" w:w="100"/>
              <w:bottom w:type="dxa" w:w="80"/>
              <w:right w:type="dxa" w:w="100"/>
            </w:tcMar>
          </w:tcPr>
          <w:p>
            <w:pPr>
              <w:jc w:val="center"/>
            </w:pPr>
            <w:r>
              <w:rPr>
                <w:b w:val="false"/>
                <w:bCs w:val="false"/>
                <w:color w:val="000000"/>
                <w:sz w:val="20"/>
                <w:szCs w:val="20"/>
              </w:rPr>
              <w:t xml:space="preserve">≥ 20 modules dépendants</w:t>
            </w:r>
          </w:p>
        </w:tc>
        <w:tc>
          <w:tcPr>
            <w:tcW w:type="dxa" w:w="3800"/>
            <w:shd w:fill="FFFFFF" w:color="auto" w:val="clear"/>
            <w:tcMar>
              <w:top w:type="dxa" w:w="80"/>
              <w:left w:type="dxa" w:w="100"/>
              <w:bottom w:type="dxa" w:w="80"/>
              <w:right w:type="dxa" w:w="100"/>
            </w:tcMar>
          </w:tcPr>
          <w:p>
            <w:pPr>
              <w:jc w:val="center"/>
            </w:pPr>
            <w:r>
              <w:rPr>
                <w:b w:val="false"/>
                <w:bCs w:val="false"/>
                <w:color w:val="000000"/>
                <w:sz w:val="20"/>
                <w:szCs w:val="20"/>
              </w:rPr>
              <w:t xml:space="preserve">Quasi-obligatoire ; ne peut pas être désactivé sans casser l'application</w:t>
            </w:r>
          </w:p>
        </w:tc>
      </w:tr>
      <w:tr>
        <w:tc>
          <w:tcPr>
            <w:tcW w:type="dxa" w:w="3200"/>
            <w:shd w:fill="F2F2F2" w:color="auto" w:val="clear"/>
            <w:tcMar>
              <w:top w:type="dxa" w:w="80"/>
              <w:left w:type="dxa" w:w="100"/>
              <w:bottom w:type="dxa" w:w="80"/>
              <w:right w:type="dxa" w:w="100"/>
            </w:tcMar>
          </w:tcPr>
          <w:p>
            <w:pPr>
              <w:jc w:val="left"/>
            </w:pPr>
            <w:r>
              <w:rPr>
                <w:b w:val="false"/>
                <w:bCs w:val="false"/>
                <w:color w:val="000000"/>
                <w:sz w:val="20"/>
                <w:szCs w:val="20"/>
              </w:rPr>
              <w:t xml:space="preserve">Semi-transversal</w:t>
            </w:r>
          </w:p>
        </w:tc>
        <w:tc>
          <w:tcPr>
            <w:tcW w:type="dxa" w:w="2600"/>
            <w:shd w:fill="F2F2F2" w:color="auto" w:val="clear"/>
            <w:tcMar>
              <w:top w:type="dxa" w:w="80"/>
              <w:left w:type="dxa" w:w="100"/>
              <w:bottom w:type="dxa" w:w="80"/>
              <w:right w:type="dxa" w:w="100"/>
            </w:tcMar>
          </w:tcPr>
          <w:p>
            <w:pPr>
              <w:jc w:val="center"/>
            </w:pPr>
            <w:r>
              <w:rPr>
                <w:b w:val="false"/>
                <w:bCs w:val="false"/>
                <w:color w:val="000000"/>
                <w:sz w:val="20"/>
                <w:szCs w:val="20"/>
              </w:rPr>
              <w:t xml:space="preserve">6 à 19 modules dépendants</w:t>
            </w:r>
          </w:p>
        </w:tc>
        <w:tc>
          <w:tcPr>
            <w:tcW w:type="dxa" w:w="3800"/>
            <w:shd w:fill="F2F2F2" w:color="auto" w:val="clear"/>
            <w:tcMar>
              <w:top w:type="dxa" w:w="80"/>
              <w:left w:type="dxa" w:w="100"/>
              <w:bottom w:type="dxa" w:w="80"/>
              <w:right w:type="dxa" w:w="100"/>
            </w:tcMar>
          </w:tcPr>
          <w:p>
            <w:pPr>
              <w:jc w:val="center"/>
            </w:pPr>
            <w:r>
              <w:rPr>
                <w:b w:val="false"/>
                <w:bCs w:val="false"/>
                <w:color w:val="000000"/>
                <w:sz w:val="20"/>
                <w:szCs w:val="20"/>
              </w:rPr>
              <w:t xml:space="preserve">Service partagé par plusieurs domaines métier, mais pas par tous</w:t>
            </w:r>
          </w:p>
        </w:tc>
      </w:tr>
      <w:tr>
        <w:tc>
          <w:tcPr>
            <w:tcW w:type="dxa" w:w="3200"/>
            <w:shd w:fill="FFFFFF" w:color="auto" w:val="clear"/>
            <w:tcMar>
              <w:top w:type="dxa" w:w="80"/>
              <w:left w:type="dxa" w:w="100"/>
              <w:bottom w:type="dxa" w:w="80"/>
              <w:right w:type="dxa" w:w="100"/>
            </w:tcMar>
          </w:tcPr>
          <w:p>
            <w:pPr>
              <w:jc w:val="left"/>
            </w:pPr>
            <w:r>
              <w:rPr>
                <w:b w:val="false"/>
                <w:bCs w:val="false"/>
                <w:color w:val="000000"/>
                <w:sz w:val="20"/>
                <w:szCs w:val="20"/>
              </w:rPr>
              <w:t xml:space="preserve">Métier autonome</w:t>
            </w:r>
          </w:p>
        </w:tc>
        <w:tc>
          <w:tcPr>
            <w:tcW w:type="dxa" w:w="2600"/>
            <w:shd w:fill="FFFFFF" w:color="auto" w:val="clear"/>
            <w:tcMar>
              <w:top w:type="dxa" w:w="80"/>
              <w:left w:type="dxa" w:w="100"/>
              <w:bottom w:type="dxa" w:w="80"/>
              <w:right w:type="dxa" w:w="100"/>
            </w:tcMar>
          </w:tcPr>
          <w:p>
            <w:pPr>
              <w:jc w:val="center"/>
            </w:pPr>
            <w:r>
              <w:rPr>
                <w:b w:val="false"/>
                <w:bCs w:val="false"/>
                <w:color w:val="000000"/>
                <w:sz w:val="20"/>
                <w:szCs w:val="20"/>
              </w:rPr>
              <w:t xml:space="preserve">≤ 5 modules dépendants</w:t>
            </w:r>
          </w:p>
        </w:tc>
        <w:tc>
          <w:tcPr>
            <w:tcW w:type="dxa" w:w="3800"/>
            <w:shd w:fill="FFFFFF" w:color="auto" w:val="clear"/>
            <w:tcMar>
              <w:top w:type="dxa" w:w="80"/>
              <w:left w:type="dxa" w:w="100"/>
              <w:bottom w:type="dxa" w:w="80"/>
              <w:right w:type="dxa" w:w="100"/>
            </w:tcMar>
          </w:tcPr>
          <w:p>
            <w:pPr>
              <w:jc w:val="center"/>
            </w:pPr>
            <w:r>
              <w:rPr>
                <w:b w:val="false"/>
                <w:bCs w:val="false"/>
                <w:color w:val="000000"/>
                <w:sz w:val="20"/>
                <w:szCs w:val="20"/>
              </w:rPr>
              <w:t xml:space="preserve">Bon candidat à la modularisation forte (activation/désactivation, package séparé)</w:t>
            </w:r>
          </w:p>
        </w:tc>
      </w:tr>
    </w:tbl>
    <w:p>
      <w:pPr>
        <w:pStyle w:val="Heading1"/>
        <w:pBdr>
          <w:bottom w:val="single" w:color="1F3864" w:sz="6" w:space="4"/>
        </w:pBdr>
        <w:spacing w:after="200" w:before="400"/>
      </w:pPr>
      <w:r>
        <w:rPr>
          <w:b/>
          <w:bCs/>
          <w:color w:val="1F3864"/>
          <w:sz w:val="30"/>
          <w:szCs w:val="30"/>
        </w:rPr>
        <w:t xml:space="preserve">3. Vue d'ensemble de l'architecture</w:t>
      </w:r>
    </w:p>
    <w:p>
      <w:pPr>
        <w:spacing w:after="160" w:line="288"/>
      </w:pPr>
      <w:r>
        <w:rPr>
          <w:sz w:val="22"/>
          <w:szCs w:val="22"/>
        </w:rPr>
        <w:t xml:space="preserve">L'application est un socle SaaS multi-tenant : chaque société cliente (« tenant ») dispose de sa propre base de données, provisionnée automatiquement (création + migration) via stancl/tenancy. Au-dessus de cette infrastructure technique, 63 modules métier se répartissent en trois strates naturelles, confirmées à la fois par l'analyse de dépendances et par le système de permissions déjà codé :</w:t>
      </w:r>
    </w:p>
    <w:p>
      <w:pPr>
        <w:pStyle w:val="ListParagraph"/>
        <w:numPr>
          <w:ilvl w:val="0"/>
          <w:numId w:val="2"/>
        </w:numPr>
        <w:spacing w:after="90" w:line="276"/>
      </w:pPr>
      <w:r>
        <w:rPr>
          <w:sz w:val="22"/>
          <w:szCs w:val="22"/>
        </w:rPr>
        <w:t xml:space="preserve">Un socle technique de tenancy (Central) : gère les tenants eux-mêmes, indépendamment de tout module métier.</w:t>
      </w:r>
    </w:p>
    <w:p>
      <w:pPr>
        <w:pStyle w:val="ListParagraph"/>
        <w:numPr>
          <w:ilvl w:val="0"/>
          <w:numId w:val="2"/>
        </w:numPr>
        <w:spacing w:after="90" w:line="276"/>
      </w:pPr>
      <w:r>
        <w:rPr>
          <w:sz w:val="22"/>
          <w:szCs w:val="22"/>
        </w:rPr>
        <w:t xml:space="preserve">Un noyau fonctionnel transversal (4 modules) : utilisé par la quasi-totalité de l'application.</w:t>
      </w:r>
    </w:p>
    <w:p>
      <w:pPr>
        <w:pStyle w:val="ListParagraph"/>
        <w:numPr>
          <w:ilvl w:val="0"/>
          <w:numId w:val="2"/>
        </w:numPr>
        <w:spacing w:after="90" w:line="276"/>
      </w:pPr>
      <w:r>
        <w:rPr>
          <w:sz w:val="22"/>
          <w:szCs w:val="22"/>
        </w:rPr>
        <w:t xml:space="preserve">Des services partagés (18 modules) : mutualisés par plusieurs domaines métier sans être universels.</w:t>
      </w:r>
    </w:p>
    <w:p>
      <w:pPr>
        <w:pStyle w:val="ListParagraph"/>
        <w:numPr>
          <w:ilvl w:val="0"/>
          <w:numId w:val="2"/>
        </w:numPr>
        <w:spacing w:after="90" w:line="276"/>
      </w:pPr>
      <w:r>
        <w:rPr>
          <w:sz w:val="22"/>
          <w:szCs w:val="22"/>
        </w:rPr>
        <w:t xml:space="preserve">Des modules métier autonomes (~40 modules) : candidats naturels à une activation/désactivation par tenant, regroupables en offres commerciales (« packs »).</w:t>
      </w:r>
    </w:p>
    <w:p>
      <w:pPr>
        <w:spacing w:after="160" w:line="288"/>
      </w:pPr>
      <w:r>
        <w:rPr>
          <w:i/>
          <w:iCs/>
          <w:color w:val="595959"/>
          <w:sz w:val="22"/>
          <w:szCs w:val="22"/>
        </w:rPr>
        <w:t xml:space="preserve">Répartition : 1 module « socle », 4 modules « noyau », 18 modules « semi-transversaux », 40 modules « métier autonomes ».</w:t>
      </w:r>
    </w:p>
    <w:p>
      <w:pPr>
        <w:pStyle w:val="Heading1"/>
        <w:pBdr>
          <w:bottom w:val="single" w:color="1F3864" w:sz="6" w:space="4"/>
        </w:pBdr>
        <w:spacing w:after="200" w:before="400"/>
      </w:pPr>
      <w:r>
        <w:rPr>
          <w:b/>
          <w:bCs/>
          <w:color w:val="1F3864"/>
          <w:sz w:val="30"/>
          <w:szCs w:val="30"/>
        </w:rPr>
        <w:t xml:space="preserve">4. Modules qui NE peuvent pas devenir de simples modules optionnels</w:t>
      </w:r>
    </w:p>
    <w:p>
      <w:pPr>
        <w:pStyle w:val="Heading2"/>
        <w:spacing w:after="160" w:before="320"/>
      </w:pPr>
      <w:r>
        <w:rPr>
          <w:b/>
          <w:bCs/>
          <w:color w:val="2E5395"/>
          <w:sz w:val="25"/>
          <w:szCs w:val="25"/>
        </w:rPr>
        <w:t xml:space="preserve">4.1 Socle technique de tenancy</w:t>
      </w:r>
    </w:p>
    <w:p>
      <w:pPr>
        <w:spacing w:after="160" w:line="288"/>
      </w:pPr>
      <w:r>
        <w:rPr>
          <w:sz w:val="22"/>
          <w:szCs w:val="22"/>
        </w:rPr>
        <w:t xml:space="preserve">Central n'est pas un module métier : c'est la brique qui gère l'existence même des tenants (informations légales, coordonnées bancaires, configuration SMTP par tenant, devises). Il est en réalité prérequis avant même qu'un tenant puisse utiliser un quelconque module métier. Il ne doit pas figurer dans un catalogue de modules activables — il est structurel.</w:t>
      </w:r>
    </w:p>
    <w:p>
      <w:pPr>
        <w:pStyle w:val="Heading2"/>
        <w:spacing w:after="160" w:before="320"/>
      </w:pPr>
      <w:r>
        <w:rPr>
          <w:b/>
          <w:bCs/>
          <w:color w:val="2E5395"/>
          <w:sz w:val="25"/>
          <w:szCs w:val="25"/>
        </w:rPr>
        <w:t xml:space="preserve">4.2 Modules noyau (transversaux)</w:t>
      </w:r>
    </w:p>
    <w:p>
      <w:pPr>
        <w:spacing w:after="160" w:line="288"/>
      </w:pPr>
      <w:r>
        <w:rPr>
          <w:sz w:val="22"/>
          <w:szCs w:val="22"/>
        </w:rPr>
        <w:t xml:space="preserve">Ce sont les modules qui, comme Product/Contact dans l'exemple donné, sont importés directement par la grande majorité des autres modules. Ils doivent rester dans le « core » applicatif, chargés systématiquement, quelle que soit la configuration commerciale du tenant :</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600"/>
        <w:gridCol w:w="1700"/>
        <w:gridCol w:w="6300"/>
      </w:tblGrid>
      <w:tr>
        <w:trPr>
          <w:tblHeader/>
        </w:trPr>
        <w:tc>
          <w:tcPr>
            <w:tcW w:type="dxa" w:w="1600"/>
            <w:shd w:fill="1F3864"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1700"/>
            <w:shd w:fill="1F3864" w:color="auto" w:val="clear"/>
            <w:tcMar>
              <w:top w:type="dxa" w:w="80"/>
              <w:left w:type="dxa" w:w="100"/>
              <w:bottom w:type="dxa" w:w="80"/>
              <w:right w:type="dxa" w:w="100"/>
            </w:tcMar>
          </w:tcPr>
          <w:p>
            <w:pPr>
              <w:jc w:val="center"/>
            </w:pPr>
            <w:r>
              <w:rPr>
                <w:b/>
                <w:bCs/>
                <w:color w:val="FFFFFF"/>
                <w:sz w:val="20"/>
                <w:szCs w:val="20"/>
              </w:rPr>
              <w:t xml:space="preserve">Modules dépendants</w:t>
            </w:r>
          </w:p>
        </w:tc>
        <w:tc>
          <w:tcPr>
            <w:tcW w:type="dxa" w:w="6300"/>
            <w:shd w:fill="1F3864"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600"/>
            <w:shd w:fill="FFFFFF" w:color="auto" w:val="clear"/>
            <w:tcMar>
              <w:top w:type="dxa" w:w="80"/>
              <w:left w:type="dxa" w:w="100"/>
              <w:bottom w:type="dxa" w:w="80"/>
              <w:right w:type="dxa" w:w="100"/>
            </w:tcMar>
          </w:tcPr>
          <w:p>
            <w:pPr>
              <w:jc w:val="left"/>
            </w:pPr>
            <w:r>
              <w:rPr>
                <w:b w:val="false"/>
                <w:bCs w:val="false"/>
                <w:color w:val="000000"/>
                <w:sz w:val="20"/>
                <w:szCs w:val="20"/>
              </w:rPr>
              <w:t xml:space="preserve">User</w:t>
            </w:r>
          </w:p>
        </w:tc>
        <w:tc>
          <w:tcPr>
            <w:tcW w:type="dxa" w:w="1700"/>
            <w:shd w:fill="FFFFFF" w:color="auto" w:val="clear"/>
            <w:tcMar>
              <w:top w:type="dxa" w:w="80"/>
              <w:left w:type="dxa" w:w="100"/>
              <w:bottom w:type="dxa" w:w="80"/>
              <w:right w:type="dxa" w:w="100"/>
            </w:tcMar>
          </w:tcPr>
          <w:p>
            <w:pPr>
              <w:jc w:val="center"/>
            </w:pPr>
            <w:r>
              <w:rPr>
                <w:b w:val="false"/>
                <w:bCs w:val="false"/>
                <w:color w:val="000000"/>
                <w:sz w:val="20"/>
                <w:szCs w:val="20"/>
              </w:rPr>
              <w:t xml:space="preserve">49</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Utilisateurs, rôles, permissions, équipes. Référencé par la quasi-totalité du système (auteur, assignation, propriétaire de ressource, etc.).</w:t>
            </w:r>
          </w:p>
        </w:tc>
      </w:tr>
      <w:tr>
        <w:tc>
          <w:tcPr>
            <w:tcW w:type="dxa" w:w="1600"/>
            <w:shd w:fill="F2F2F2" w:color="auto" w:val="clear"/>
            <w:tcMar>
              <w:top w:type="dxa" w:w="80"/>
              <w:left w:type="dxa" w:w="100"/>
              <w:bottom w:type="dxa" w:w="80"/>
              <w:right w:type="dxa" w:w="100"/>
            </w:tcMar>
          </w:tcPr>
          <w:p>
            <w:pPr>
              <w:jc w:val="left"/>
            </w:pPr>
            <w:r>
              <w:rPr>
                <w:b w:val="false"/>
                <w:bCs w:val="false"/>
                <w:color w:val="000000"/>
                <w:sz w:val="20"/>
                <w:szCs w:val="20"/>
              </w:rPr>
              <w:t xml:space="preserve">Society</w:t>
            </w:r>
          </w:p>
        </w:tc>
        <w:tc>
          <w:tcPr>
            <w:tcW w:type="dxa" w:w="1700"/>
            <w:shd w:fill="F2F2F2" w:color="auto" w:val="clear"/>
            <w:tcMar>
              <w:top w:type="dxa" w:w="80"/>
              <w:left w:type="dxa" w:w="100"/>
              <w:bottom w:type="dxa" w:w="80"/>
              <w:right w:type="dxa" w:w="100"/>
            </w:tcMar>
          </w:tcPr>
          <w:p>
            <w:pPr>
              <w:jc w:val="center"/>
            </w:pPr>
            <w:r>
              <w:rPr>
                <w:b w:val="false"/>
                <w:bCs w:val="false"/>
                <w:color w:val="000000"/>
                <w:sz w:val="20"/>
                <w:szCs w:val="20"/>
              </w:rPr>
              <w:t xml:space="preserve">36</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Entreprise / établissement du client (tenant applicatif). Sert de clé de rattachement (society_id) à la plupart des données métier.</w:t>
            </w:r>
          </w:p>
        </w:tc>
      </w:tr>
      <w:tr>
        <w:tc>
          <w:tcPr>
            <w:tcW w:type="dxa" w:w="1600"/>
            <w:shd w:fill="FFFFFF" w:color="auto" w:val="clear"/>
            <w:tcMar>
              <w:top w:type="dxa" w:w="80"/>
              <w:left w:type="dxa" w:w="100"/>
              <w:bottom w:type="dxa" w:w="80"/>
              <w:right w:type="dxa" w:w="100"/>
            </w:tcMar>
          </w:tcPr>
          <w:p>
            <w:pPr>
              <w:jc w:val="left"/>
            </w:pPr>
            <w:r>
              <w:rPr>
                <w:b w:val="false"/>
                <w:bCs w:val="false"/>
                <w:color w:val="000000"/>
                <w:sz w:val="20"/>
                <w:szCs w:val="20"/>
              </w:rPr>
              <w:t xml:space="preserve">Contact</w:t>
            </w:r>
          </w:p>
        </w:tc>
        <w:tc>
          <w:tcPr>
            <w:tcW w:type="dxa" w:w="1700"/>
            <w:shd w:fill="FFFFFF" w:color="auto" w:val="clear"/>
            <w:tcMar>
              <w:top w:type="dxa" w:w="80"/>
              <w:left w:type="dxa" w:w="100"/>
              <w:bottom w:type="dxa" w:w="80"/>
              <w:right w:type="dxa" w:w="100"/>
            </w:tcMar>
          </w:tcPr>
          <w:p>
            <w:pPr>
              <w:jc w:val="center"/>
            </w:pPr>
            <w:r>
              <w:rPr>
                <w:b w:val="false"/>
                <w:bCs w:val="false"/>
                <w:color w:val="000000"/>
                <w:sz w:val="20"/>
                <w:szCs w:val="20"/>
              </w:rPr>
              <w:t xml:space="preserve">24</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Client / prospect / fournisseur. Utilisé comme partie prenante par la facturation, les devis, le pipeline commercial, les projets, les événements…</w:t>
            </w:r>
          </w:p>
        </w:tc>
      </w:tr>
      <w:tr>
        <w:tc>
          <w:tcPr>
            <w:tcW w:type="dxa" w:w="1600"/>
            <w:shd w:fill="F2F2F2" w:color="auto" w:val="clear"/>
            <w:tcMar>
              <w:top w:type="dxa" w:w="80"/>
              <w:left w:type="dxa" w:w="100"/>
              <w:bottom w:type="dxa" w:w="80"/>
              <w:right w:type="dxa" w:w="100"/>
            </w:tcMar>
          </w:tcPr>
          <w:p>
            <w:pPr>
              <w:jc w:val="left"/>
            </w:pPr>
            <w:r>
              <w:rPr>
                <w:b w:val="false"/>
                <w:bCs w:val="false"/>
                <w:color w:val="000000"/>
                <w:sz w:val="20"/>
                <w:szCs w:val="20"/>
              </w:rPr>
              <w:t xml:space="preserve">Setting</w:t>
            </w:r>
          </w:p>
        </w:tc>
        <w:tc>
          <w:tcPr>
            <w:tcW w:type="dxa" w:w="1700"/>
            <w:shd w:fill="F2F2F2" w:color="auto" w:val="clear"/>
            <w:tcMar>
              <w:top w:type="dxa" w:w="80"/>
              <w:left w:type="dxa" w:w="100"/>
              <w:bottom w:type="dxa" w:w="80"/>
              <w:right w:type="dxa" w:w="100"/>
            </w:tcMar>
          </w:tcPr>
          <w:p>
            <w:pPr>
              <w:jc w:val="center"/>
            </w:pPr>
            <w:r>
              <w:rPr>
                <w:b w:val="false"/>
                <w:bCs w:val="false"/>
                <w:color w:val="000000"/>
                <w:sz w:val="20"/>
                <w:szCs w:val="20"/>
              </w:rPr>
              <w:t xml:space="preserve">24</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Paramétrage transverse : devises, conditions de paiement, zones, villes, pays, modèles de documents, fréquences…</w:t>
            </w:r>
          </w:p>
        </w:tc>
      </w:tr>
    </w:tbl>
    <w:p>
      <w:pPr>
        <w:spacing w:after="160" w:line="288"/>
      </w:pPr>
      <w:r>
        <w:rPr>
          <w:sz w:val="22"/>
          <w:szCs w:val="22"/>
        </w:rPr>
        <w:t xml:space="preserve">À noter : Contact affiche un degré entrant (24) comparable à Setting, ce qui confirme précisément l'intuition métier exposée en introduction — Contact, comme Product (module semi-transversal, voir 5.1), est structurellement transversal même s'il reste une entité « métier » en apparence.</w:t>
      </w:r>
    </w:p>
    <w:p>
      <w:pPr>
        <w:pStyle w:val="Heading1"/>
        <w:pBdr>
          <w:bottom w:val="single" w:color="1F3864" w:sz="6" w:space="4"/>
        </w:pBdr>
        <w:spacing w:after="200" w:before="400"/>
      </w:pPr>
      <w:r>
        <w:rPr>
          <w:b/>
          <w:bCs/>
          <w:color w:val="1F3864"/>
          <w:sz w:val="30"/>
          <w:szCs w:val="30"/>
        </w:rPr>
        <w:t xml:space="preserve">5. Modules semi-transversaux (services partagés)</w:t>
      </w:r>
    </w:p>
    <w:p>
      <w:pPr>
        <w:spacing w:after="160" w:line="288"/>
      </w:pPr>
      <w:r>
        <w:rPr>
          <w:sz w:val="22"/>
          <w:szCs w:val="22"/>
        </w:rPr>
        <w:t xml:space="preserve">Ces modules sont consommés par plusieurs autres modules métier (entre 6 et 19), sans être universels. Ils peuvent, à terme, être packagés séparément, mais leur désactivation impacte plusieurs autres modules à la fois : leur extraction demande une interface stable (évènements, contrats/PHP interfaces) plutôt qu'un simple découpage de dossier.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1300"/>
        <w:gridCol w:w="1300"/>
        <w:gridCol w:w="5500"/>
      </w:tblGrid>
      <w:tr>
        <w:trPr>
          <w:tblHeader/>
        </w:trPr>
        <w:tc>
          <w:tcPr>
            <w:tcW w:type="dxa" w:w="1500"/>
            <w:shd w:fill="1F3864"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1300"/>
            <w:shd w:fill="1F3864" w:color="auto" w:val="clear"/>
            <w:tcMar>
              <w:top w:type="dxa" w:w="80"/>
              <w:left w:type="dxa" w:w="100"/>
              <w:bottom w:type="dxa" w:w="80"/>
              <w:right w:type="dxa" w:w="100"/>
            </w:tcMar>
          </w:tcPr>
          <w:p>
            <w:pPr>
              <w:jc w:val="center"/>
            </w:pPr>
            <w:r>
              <w:rPr>
                <w:b/>
                <w:bCs/>
                <w:color w:val="FFFFFF"/>
                <w:sz w:val="20"/>
                <w:szCs w:val="20"/>
              </w:rPr>
              <w:t xml:space="preserve">Dépendants</w:t>
            </w:r>
          </w:p>
        </w:tc>
        <w:tc>
          <w:tcPr>
            <w:tcW w:type="dxa" w:w="1300"/>
            <w:shd w:fill="1F3864" w:color="auto" w:val="clear"/>
            <w:tcMar>
              <w:top w:type="dxa" w:w="80"/>
              <w:left w:type="dxa" w:w="100"/>
              <w:bottom w:type="dxa" w:w="80"/>
              <w:right w:type="dxa" w:w="100"/>
            </w:tcMar>
          </w:tcPr>
          <w:p>
            <w:pPr>
              <w:jc w:val="center"/>
            </w:pPr>
            <w:r>
              <w:rPr>
                <w:b/>
                <w:bCs/>
                <w:color w:val="FFFFFF"/>
                <w:sz w:val="20"/>
                <w:szCs w:val="20"/>
              </w:rPr>
              <w:t xml:space="preserve">Dépendances</w:t>
            </w:r>
          </w:p>
        </w:tc>
        <w:tc>
          <w:tcPr>
            <w:tcW w:type="dxa" w:w="5500"/>
            <w:shd w:fill="1F3864"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Project</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16</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12</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Gestion de projets, tâches, jalons — pivot pour plusieurs modules (budget, reporting, chat, fil d'actualité).</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Central</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14</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Base centrale multi-tenant (tenant, informations du tenant, banques, devises, SMTP). Infrastructure de tenancy, pas un module métier au sens strict.</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Invoice</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13</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12</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Facturation (factures, paiements, factures récurrentes). Consommé par la comptabilité, les projets, le pipeline.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Event</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Portail événementiel (ateliers, billetterie, invitations). Fort couplage interne, encore modérément utilisé ailleurs.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Notification</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Notifications applicatives internes, consommées par de nombreux modules déclencheurs.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Pipeline</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CRM commercial (opportunités, activités commerciales).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Product</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Catalogue produits, éléments de vente, taxes, attributs. Utilisé par la boutique, la facturation, le pipeline.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PostOffice</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9</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Registre/checkpoint postal ou de courrier lié aux contacts et collaborateurs.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Appointment</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Rendez-vous clients.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Personal</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9</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Fiche collaborateur RH (dossier du personnel).</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Estimate</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Devis, en amont de la facturation.</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Expense</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Notes de frais / dépenses.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License</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Gestion des licences, offres, packs commerciaux du SaaS lui-même.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Log</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Journal d'activité utilisateur, consommé en lecture par plusieurs modules d'audit.</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Account</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Comptes et caisses financières internes.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Holiday</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Congés et absences RH.</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Payslip</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1300"/>
            <w:shd w:fill="FFFFFF" w:color="auto" w:val="clear"/>
            <w:tcMar>
              <w:top w:type="dxa" w:w="80"/>
              <w:left w:type="dxa" w:w="100"/>
              <w:bottom w:type="dxa" w:w="80"/>
              <w:right w:type="dxa" w:w="100"/>
            </w:tcMar>
          </w:tcPr>
          <w:p>
            <w:pPr>
              <w:jc w:val="center"/>
            </w:pPr>
            <w:r>
              <w:rPr>
                <w:b w:val="false"/>
                <w:bCs w:val="false"/>
                <w:color w:val="000000"/>
                <w:sz w:val="20"/>
                <w:szCs w:val="20"/>
              </w:rPr>
              <w:t xml:space="preserve">14</w:t>
            </w:r>
          </w:p>
        </w:tc>
        <w:tc>
          <w:tcPr>
            <w:tcW w:type="dxa" w:w="5500"/>
            <w:shd w:fill="FFFFFF" w:color="auto" w:val="clear"/>
            <w:tcMar>
              <w:top w:type="dxa" w:w="80"/>
              <w:left w:type="dxa" w:w="100"/>
              <w:bottom w:type="dxa" w:w="80"/>
              <w:right w:type="dxa" w:w="100"/>
            </w:tcMar>
          </w:tcPr>
          <w:p>
            <w:pPr>
              <w:jc w:val="center"/>
            </w:pPr>
            <w:r>
              <w:rPr>
                <w:b w:val="false"/>
                <w:bCs w:val="false"/>
                <w:color w:val="000000"/>
                <w:sz w:val="20"/>
                <w:szCs w:val="20"/>
              </w:rPr>
              <w:t xml:space="preserve">Fiches de paie, éléments de rémunération.</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Story</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1300"/>
            <w:shd w:fill="F2F2F2"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5500"/>
            <w:shd w:fill="F2F2F2" w:color="auto" w:val="clear"/>
            <w:tcMar>
              <w:top w:type="dxa" w:w="80"/>
              <w:left w:type="dxa" w:w="100"/>
              <w:bottom w:type="dxa" w:w="80"/>
              <w:right w:type="dxa" w:w="100"/>
            </w:tcMar>
          </w:tcPr>
          <w:p>
            <w:pPr>
              <w:jc w:val="center"/>
            </w:pPr>
            <w:r>
              <w:rPr>
                <w:b w:val="false"/>
                <w:bCs w:val="false"/>
                <w:color w:val="000000"/>
                <w:sz w:val="20"/>
                <w:szCs w:val="20"/>
              </w:rPr>
              <w:t xml:space="preserve">Fil d'actualité / publications internes (souvent liées aux projets).</w:t>
            </w:r>
          </w:p>
        </w:tc>
      </w:tr>
    </w:tbl>
    <w:p>
      <w:pPr>
        <w:pStyle w:val="Heading3"/>
        <w:spacing w:after="120" w:before="260"/>
      </w:pPr>
      <w:r>
        <w:rPr>
          <w:b/>
          <w:bCs/>
          <w:color w:val="C55A11"/>
          <w:sz w:val="22"/>
          <w:szCs w:val="22"/>
        </w:rPr>
        <w:t xml:space="preserve">5.1 Cas Product — la précision demandée par l'exemple</w:t>
      </w:r>
    </w:p>
    <w:p>
      <w:pPr>
        <w:spacing w:after="160" w:line="288"/>
      </w:pPr>
      <w:r>
        <w:rPr>
          <w:sz w:val="22"/>
          <w:szCs w:val="22"/>
        </w:rPr>
        <w:t xml:space="preserve">Product / ProductSaleElement se situe juste sous le seuil du noyau strict (11 dépendants), mais son rôle est bien celui d'un référentiel transversal : il est consommé par Shop, Invoice, Estimate et Pipeline. Dans une architecture cible, il est recommandé de le traiter comme un module « toujours présent dès qu'un module de vente est activé » plutôt que comme un module isolément désactivable — exactement la nuance suggérée dans la question initiale.</w:t>
      </w:r>
    </w:p>
    <w:p>
      <w:pPr>
        <w:pStyle w:val="Heading1"/>
        <w:pBdr>
          <w:bottom w:val="single" w:color="1F3864" w:sz="6" w:space="4"/>
        </w:pBdr>
        <w:spacing w:after="200" w:before="400"/>
      </w:pPr>
      <w:r>
        <w:rPr>
          <w:b/>
          <w:bCs/>
          <w:color w:val="1F3864"/>
          <w:sz w:val="30"/>
          <w:szCs w:val="30"/>
        </w:rPr>
        <w:t xml:space="preserve">6. Modules métier autonomes — candidats à la modularisation</w:t>
      </w:r>
    </w:p>
    <w:p>
      <w:pPr>
        <w:spacing w:after="160" w:line="288"/>
      </w:pPr>
      <w:r>
        <w:rPr>
          <w:sz w:val="22"/>
          <w:szCs w:val="22"/>
        </w:rPr>
        <w:t xml:space="preserve">Ce sont les ~40 modules à faible couplage entrant (5 dépendants ou moins). Ils correspondent, presque un pour un, aux « fonctionnalités » déjà cataloguées dans SuitModulesEnum / SuitAppsEnum côté code — preuve que l'équipe a déjà, intuitivement, identifié ce périmètre comme activable par offre commerciale. Ils sont regroupés ci-dessous par domaine métier pour faciliter la constitution de « packs » (à l'image de SuitAppsEnum : CRM, RH, FINANCE, STOCK, PROJECT, COMMUNICATION, NOTARIAL, EVENT_PORTAL…).</w:t>
      </w:r>
    </w:p>
    <w:p>
      <w:pPr>
        <w:pStyle w:val="Heading3"/>
        <w:spacing w:after="120" w:before="260"/>
      </w:pPr>
      <w:r>
        <w:rPr>
          <w:b/>
          <w:bCs/>
          <w:color w:val="C55A11"/>
          <w:sz w:val="22"/>
          <w:szCs w:val="22"/>
        </w:rPr>
        <w:t xml:space="preserve">CRM / Vente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PromoCode</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Codes promotionnels.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Shop</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Boutique / caisse (checkout, participants).</w:t>
            </w:r>
          </w:p>
        </w:tc>
      </w:tr>
    </w:tbl>
    <w:p>
      <w:pPr>
        <w:pStyle w:val="Heading3"/>
        <w:spacing w:after="120" w:before="260"/>
      </w:pPr>
      <w:r>
        <w:rPr>
          <w:b/>
          <w:bCs/>
          <w:color w:val="C55A11"/>
          <w:sz w:val="22"/>
          <w:szCs w:val="22"/>
        </w:rPr>
        <w:t xml:space="preserve">Communication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Messaging</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Fournisseurs de messagerie (paramétrage technique).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Chat</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Messagerie instantanée interne, conversations et appels.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WebMail</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Client mail intégré (IMAP).</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Mattermost</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Intégration Mattermost — autonome.</w:t>
            </w:r>
          </w:p>
        </w:tc>
      </w:tr>
    </w:tbl>
    <w:p>
      <w:pPr>
        <w:pStyle w:val="Heading3"/>
        <w:spacing w:after="120" w:before="260"/>
      </w:pPr>
      <w:r>
        <w:rPr>
          <w:b/>
          <w:bCs/>
          <w:color w:val="C55A11"/>
          <w:sz w:val="22"/>
          <w:szCs w:val="22"/>
        </w:rPr>
        <w:t xml:space="preserve">Flotte / Matériel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Fleet</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Véhicules, affectations, rapports et documents associés.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Material</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Matériel, stock, mouvements et maintenance.</w:t>
            </w:r>
          </w:p>
        </w:tc>
      </w:tr>
    </w:tbl>
    <w:p>
      <w:pPr>
        <w:pStyle w:val="Heading3"/>
        <w:spacing w:after="120" w:before="260"/>
      </w:pPr>
      <w:r>
        <w:rPr>
          <w:b/>
          <w:bCs/>
          <w:color w:val="C55A11"/>
          <w:sz w:val="22"/>
          <w:szCs w:val="22"/>
        </w:rPr>
        <w:t xml:space="preserve">Gestion documentaire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FolderManager</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Dossiers, groupes et permissions documentaires.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ArchiveFolder</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Archivage de dossiers (contexte notarial).</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Normalization</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Clés de normalisation de documents/factures.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FileManager</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Explorateur de fichiers/documents — aucune dépendance ni dépendant détecté : totalement autonome.</w:t>
            </w:r>
          </w:p>
        </w:tc>
      </w:tr>
    </w:tbl>
    <w:p>
      <w:pPr>
        <w:pStyle w:val="Heading3"/>
        <w:spacing w:after="120" w:before="260"/>
      </w:pPr>
      <w:r>
        <w:rPr>
          <w:b/>
          <w:bCs/>
          <w:color w:val="C55A11"/>
          <w:sz w:val="22"/>
          <w:szCs w:val="22"/>
        </w:rPr>
        <w:t xml:space="preserve">Influenceur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Influencer</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Ambassadeurs, partenaires et catalogue d'applications influenceurs.</w:t>
            </w:r>
          </w:p>
        </w:tc>
      </w:tr>
    </w:tbl>
    <w:p>
      <w:pPr>
        <w:pStyle w:val="Heading3"/>
        <w:spacing w:after="120" w:before="260"/>
      </w:pPr>
      <w:r>
        <w:rPr>
          <w:b/>
          <w:bCs/>
          <w:color w:val="C55A11"/>
          <w:sz w:val="22"/>
          <w:szCs w:val="22"/>
        </w:rPr>
        <w:t xml:space="preserve">Outils transverses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Form</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Constructeur de formulaires dynamiques (champs, étapes).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ValidationCircuit</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Circuits de validation (workflows d'approbation).</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OnlyOffice</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Intégration éditeur de documents en ligne.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Schedule</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Tâches planifiées.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Dashboard</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Tableaux de bord et widgets agrégés (consomme d'autres modules par nature).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Statistic</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6</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Statistiques agrégées.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Widget</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11</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Widgets configurables pour tableaux de bord (agrège d'autres modules par nature).</w:t>
            </w:r>
          </w:p>
        </w:tc>
      </w:tr>
    </w:tbl>
    <w:p>
      <w:pPr>
        <w:pStyle w:val="Heading3"/>
        <w:spacing w:after="120" w:before="260"/>
      </w:pPr>
      <w:r>
        <w:rPr>
          <w:b/>
          <w:bCs/>
          <w:color w:val="C55A11"/>
          <w:sz w:val="22"/>
          <w:szCs w:val="22"/>
        </w:rPr>
        <w:t xml:space="preserve">Plateforme / Édition SaaS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Application</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Gestion des applications proposées dans l'offre commerciale (packs, tarifs, permissions).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Module</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32</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Registre des modules activables par tenant (voir §5). Son fort out-degree vient du fait qu'il agrège les permissions de tous les autres modules — ce n'est pas un couplage métier classique.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Synchronisation</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Synchronisation de données externes.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Webhook</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Abonnements webhooks sortants.</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PushNotification</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Jetons d'appareils pour notifications push.</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ExternalApplications</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Intégrations API externes.</w:t>
            </w:r>
          </w:p>
        </w:tc>
      </w:tr>
    </w:tbl>
    <w:p>
      <w:pPr>
        <w:pStyle w:val="Heading3"/>
        <w:spacing w:after="120" w:before="260"/>
      </w:pPr>
      <w:r>
        <w:rPr>
          <w:b/>
          <w:bCs/>
          <w:color w:val="C55A11"/>
          <w:sz w:val="22"/>
          <w:szCs w:val="22"/>
        </w:rPr>
        <w:t xml:space="preserve">Portail client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CustomerPortal</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8</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Portail prospects / clients externes.</w:t>
            </w:r>
          </w:p>
        </w:tc>
      </w:tr>
    </w:tbl>
    <w:p>
      <w:pPr>
        <w:pStyle w:val="Heading3"/>
        <w:spacing w:after="120" w:before="260"/>
      </w:pPr>
      <w:r>
        <w:rPr>
          <w:b/>
          <w:bCs/>
          <w:color w:val="C55A11"/>
          <w:sz w:val="22"/>
          <w:szCs w:val="22"/>
        </w:rPr>
        <w:t xml:space="preserve">Projet (extension)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ProjectReporting</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Rapports de suivi de projet.</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ProjectBudget</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7</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Budgets et transactions liés à un projet.</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RetroPlanning</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Rétroplannings.</w:t>
            </w:r>
          </w:p>
        </w:tc>
      </w:tr>
    </w:tbl>
    <w:p>
      <w:pPr>
        <w:pStyle w:val="Heading3"/>
        <w:spacing w:after="120" w:before="260"/>
      </w:pPr>
      <w:r>
        <w:rPr>
          <w:b/>
          <w:bCs/>
          <w:color w:val="C55A11"/>
          <w:sz w:val="22"/>
          <w:szCs w:val="22"/>
        </w:rPr>
        <w:t xml:space="preserve">RH</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Contract</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Contrats de travail des employés.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SalaryAdvance</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Avances sur salaire.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Employee</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Données employé complémentaires (poste, statut familial, contrat).</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Objective</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Objectifs hebdomadaires des collaborateurs.</w:t>
            </w:r>
          </w:p>
        </w:tc>
      </w:tr>
    </w:tbl>
    <w:p>
      <w:pPr>
        <w:pStyle w:val="Heading3"/>
        <w:spacing w:after="120" w:before="260"/>
      </w:pPr>
      <w:r>
        <w:rPr>
          <w:b/>
          <w:bCs/>
          <w:color w:val="C55A11"/>
          <w:sz w:val="22"/>
          <w:szCs w:val="22"/>
        </w:rPr>
        <w:t xml:space="preserve">Satisfaction client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Nps</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Enquêtes de satisfaction (Net Promoter Score).</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Qvct</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Enquêtes qualité de vie au travail.</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Survey</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2</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Sondages génériques.</w:t>
            </w:r>
          </w:p>
        </w:tc>
      </w:tr>
    </w:tbl>
    <w:p>
      <w:pPr>
        <w:pStyle w:val="Heading3"/>
        <w:spacing w:after="120" w:before="260"/>
      </w:pPr>
      <w:r>
        <w:rPr>
          <w:b/>
          <w:bCs/>
          <w:color w:val="C55A11"/>
          <w:sz w:val="22"/>
          <w:szCs w:val="22"/>
        </w:rPr>
        <w:t xml:space="preserve">Support client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Helpdesk</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Système de tickets (SAV).</w:t>
            </w:r>
          </w:p>
        </w:tc>
      </w:tr>
    </w:tbl>
    <w:p>
      <w:pPr>
        <w:pStyle w:val="Heading3"/>
        <w:spacing w:after="120" w:before="260"/>
      </w:pPr>
      <w:r>
        <w:rPr>
          <w:b/>
          <w:bCs/>
          <w:color w:val="C55A11"/>
          <w:sz w:val="22"/>
          <w:szCs w:val="22"/>
        </w:rPr>
        <w:t xml:space="preserve">Sécurité / Accès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Access</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5</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Demandes de suppression de compte, gestion des appareils.</w:t>
            </w:r>
          </w:p>
        </w:tc>
      </w:tr>
    </w:tbl>
    <w:p>
      <w:pPr>
        <w:pStyle w:val="Heading3"/>
        <w:spacing w:after="120" w:before="260"/>
      </w:pPr>
      <w:r>
        <w:rPr>
          <w:b/>
          <w:bCs/>
          <w:color w:val="C55A11"/>
          <w:sz w:val="22"/>
          <w:szCs w:val="22"/>
        </w:rPr>
        <w:t xml:space="preserve">Événementiel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1000"/>
        <w:gridCol w:w="6300"/>
      </w:tblGrid>
      <w:tr>
        <w:trPr>
          <w:tblHeader/>
        </w:trPr>
        <w:tc>
          <w:tcPr>
            <w:tcW w:type="dxa" w:w="1500"/>
            <w:shd w:fill="2E5395"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800"/>
            <w:shd w:fill="2E5395" w:color="auto" w:val="clear"/>
            <w:tcMar>
              <w:top w:type="dxa" w:w="80"/>
              <w:left w:type="dxa" w:w="100"/>
              <w:bottom w:type="dxa" w:w="80"/>
              <w:right w:type="dxa" w:w="100"/>
            </w:tcMar>
          </w:tcPr>
          <w:p>
            <w:pPr>
              <w:jc w:val="center"/>
            </w:pPr>
            <w:r>
              <w:rPr>
                <w:b/>
                <w:bCs/>
                <w:color w:val="FFFFFF"/>
                <w:sz w:val="20"/>
                <w:szCs w:val="20"/>
              </w:rPr>
              <w:t xml:space="preserve">Dép.</w:t>
            </w:r>
          </w:p>
        </w:tc>
        <w:tc>
          <w:tcPr>
            <w:tcW w:type="dxa" w:w="1000"/>
            <w:shd w:fill="2E5395" w:color="auto" w:val="clear"/>
            <w:tcMar>
              <w:top w:type="dxa" w:w="80"/>
              <w:left w:type="dxa" w:w="100"/>
              <w:bottom w:type="dxa" w:w="80"/>
              <w:right w:type="dxa" w:w="100"/>
            </w:tcMar>
          </w:tcPr>
          <w:p>
            <w:pPr>
              <w:jc w:val="center"/>
            </w:pPr>
            <w:r>
              <w:rPr>
                <w:b/>
                <w:bCs/>
                <w:color w:val="FFFFFF"/>
                <w:sz w:val="20"/>
                <w:szCs w:val="20"/>
              </w:rPr>
              <w:t xml:space="preserve">Dép.sort.</w:t>
            </w:r>
          </w:p>
        </w:tc>
        <w:tc>
          <w:tcPr>
            <w:tcW w:type="dxa" w:w="6300"/>
            <w:shd w:fill="2E5395" w:color="auto" w:val="clear"/>
            <w:tcMar>
              <w:top w:type="dxa" w:w="80"/>
              <w:left w:type="dxa" w:w="100"/>
              <w:bottom w:type="dxa" w:w="80"/>
              <w:right w:type="dxa" w:w="100"/>
            </w:tcMar>
          </w:tcPr>
          <w:p>
            <w:pPr>
              <w:jc w:val="center"/>
            </w:pPr>
            <w:r>
              <w:rPr>
                <w:b/>
                <w:bCs/>
                <w:color w:val="FFFFFF"/>
                <w:sz w:val="20"/>
                <w:szCs w:val="20"/>
              </w:rPr>
              <w:t xml:space="preserve">Rôle</w:t>
            </w:r>
          </w:p>
        </w:tc>
      </w:tr>
      <w:tr>
        <w:tc>
          <w:tcPr>
            <w:tcW w:type="dxa" w:w="1500"/>
            <w:shd w:fill="FFFFFF" w:color="auto" w:val="clear"/>
            <w:tcMar>
              <w:top w:type="dxa" w:w="80"/>
              <w:left w:type="dxa" w:w="100"/>
              <w:bottom w:type="dxa" w:w="80"/>
              <w:right w:type="dxa" w:w="100"/>
            </w:tcMar>
          </w:tcPr>
          <w:p>
            <w:pPr>
              <w:jc w:val="left"/>
            </w:pPr>
            <w:r>
              <w:rPr>
                <w:b w:val="false"/>
                <w:bCs w:val="false"/>
                <w:color w:val="000000"/>
                <w:sz w:val="20"/>
                <w:szCs w:val="20"/>
              </w:rPr>
              <w:t xml:space="preserve">TemplateBuilder</w:t>
            </w:r>
          </w:p>
        </w:tc>
        <w:tc>
          <w:tcPr>
            <w:tcW w:type="dxa" w:w="800"/>
            <w:shd w:fill="FFFFFF" w:color="auto" w:val="clear"/>
            <w:tcMar>
              <w:top w:type="dxa" w:w="80"/>
              <w:left w:type="dxa" w:w="100"/>
              <w:bottom w:type="dxa" w:w="80"/>
              <w:right w:type="dxa" w:w="100"/>
            </w:tcMar>
          </w:tcPr>
          <w:p>
            <w:pPr>
              <w:jc w:val="center"/>
            </w:pPr>
            <w:r>
              <w:rPr>
                <w:b w:val="false"/>
                <w:bCs w:val="false"/>
                <w:color w:val="000000"/>
                <w:sz w:val="20"/>
                <w:szCs w:val="20"/>
              </w:rPr>
              <w:t xml:space="preserve">3</w:t>
            </w:r>
          </w:p>
        </w:tc>
        <w:tc>
          <w:tcPr>
            <w:tcW w:type="dxa" w:w="1000"/>
            <w:shd w:fill="FFFFFF" w:color="auto" w:val="clear"/>
            <w:tcMar>
              <w:top w:type="dxa" w:w="80"/>
              <w:left w:type="dxa" w:w="100"/>
              <w:bottom w:type="dxa" w:w="80"/>
              <w:right w:type="dxa" w:w="100"/>
            </w:tcMar>
          </w:tcPr>
          <w:p>
            <w:pPr>
              <w:jc w:val="center"/>
            </w:pPr>
            <w:r>
              <w:rPr>
                <w:b w:val="false"/>
                <w:bCs w:val="false"/>
                <w:color w:val="000000"/>
                <w:sz w:val="20"/>
                <w:szCs w:val="20"/>
              </w:rPr>
              <w:t xml:space="preserve">1</w:t>
            </w:r>
          </w:p>
        </w:tc>
        <w:tc>
          <w:tcPr>
            <w:tcW w:type="dxa" w:w="6300"/>
            <w:shd w:fill="FFFFFF" w:color="auto" w:val="clear"/>
            <w:tcMar>
              <w:top w:type="dxa" w:w="80"/>
              <w:left w:type="dxa" w:w="100"/>
              <w:bottom w:type="dxa" w:w="80"/>
              <w:right w:type="dxa" w:w="100"/>
            </w:tcMar>
          </w:tcPr>
          <w:p>
            <w:pPr>
              <w:jc w:val="center"/>
            </w:pPr>
            <w:r>
              <w:rPr>
                <w:b w:val="false"/>
                <w:bCs w:val="false"/>
                <w:color w:val="000000"/>
                <w:sz w:val="20"/>
                <w:szCs w:val="20"/>
              </w:rPr>
              <w:t xml:space="preserve">Modèles réutilisables (ex. badges/certificats d'événements).</w:t>
            </w:r>
          </w:p>
        </w:tc>
      </w:tr>
      <w:tr>
        <w:tc>
          <w:tcPr>
            <w:tcW w:type="dxa" w:w="1500"/>
            <w:shd w:fill="F2F2F2" w:color="auto" w:val="clear"/>
            <w:tcMar>
              <w:top w:type="dxa" w:w="80"/>
              <w:left w:type="dxa" w:w="100"/>
              <w:bottom w:type="dxa" w:w="80"/>
              <w:right w:type="dxa" w:w="100"/>
            </w:tcMar>
          </w:tcPr>
          <w:p>
            <w:pPr>
              <w:jc w:val="left"/>
            </w:pPr>
            <w:r>
              <w:rPr>
                <w:b w:val="false"/>
                <w:bCs w:val="false"/>
                <w:color w:val="000000"/>
                <w:sz w:val="20"/>
                <w:szCs w:val="20"/>
              </w:rPr>
              <w:t xml:space="preserve">Karaoke</w:t>
            </w:r>
          </w:p>
        </w:tc>
        <w:tc>
          <w:tcPr>
            <w:tcW w:type="dxa" w:w="800"/>
            <w:shd w:fill="F2F2F2" w:color="auto" w:val="clear"/>
            <w:tcMar>
              <w:top w:type="dxa" w:w="80"/>
              <w:left w:type="dxa" w:w="100"/>
              <w:bottom w:type="dxa" w:w="80"/>
              <w:right w:type="dxa" w:w="100"/>
            </w:tcMar>
          </w:tcPr>
          <w:p>
            <w:pPr>
              <w:jc w:val="center"/>
            </w:pPr>
            <w:r>
              <w:rPr>
                <w:b w:val="false"/>
                <w:bCs w:val="false"/>
                <w:color w:val="000000"/>
                <w:sz w:val="20"/>
                <w:szCs w:val="20"/>
              </w:rPr>
              <w:t xml:space="preserve">0</w:t>
            </w:r>
          </w:p>
        </w:tc>
        <w:tc>
          <w:tcPr>
            <w:tcW w:type="dxa" w:w="1000"/>
            <w:shd w:fill="F2F2F2" w:color="auto" w:val="clear"/>
            <w:tcMar>
              <w:top w:type="dxa" w:w="80"/>
              <w:left w:type="dxa" w:w="100"/>
              <w:bottom w:type="dxa" w:w="80"/>
              <w:right w:type="dxa" w:w="100"/>
            </w:tcMar>
          </w:tcPr>
          <w:p>
            <w:pPr>
              <w:jc w:val="center"/>
            </w:pPr>
            <w:r>
              <w:rPr>
                <w:b w:val="false"/>
                <w:bCs w:val="false"/>
                <w:color w:val="000000"/>
                <w:sz w:val="20"/>
                <w:szCs w:val="20"/>
              </w:rPr>
              <w:t xml:space="preserve">4</w:t>
            </w:r>
          </w:p>
        </w:tc>
        <w:tc>
          <w:tcPr>
            <w:tcW w:type="dxa" w:w="6300"/>
            <w:shd w:fill="F2F2F2" w:color="auto" w:val="clear"/>
            <w:tcMar>
              <w:top w:type="dxa" w:w="80"/>
              <w:left w:type="dxa" w:w="100"/>
              <w:bottom w:type="dxa" w:w="80"/>
              <w:right w:type="dxa" w:w="100"/>
            </w:tcMar>
          </w:tcPr>
          <w:p>
            <w:pPr>
              <w:jc w:val="center"/>
            </w:pPr>
            <w:r>
              <w:rPr>
                <w:b w:val="false"/>
                <w:bCs w:val="false"/>
                <w:color w:val="000000"/>
                <w:sz w:val="20"/>
                <w:szCs w:val="20"/>
              </w:rPr>
              <w:t xml:space="preserve">Fonction ludique liée aux événements.</w:t>
            </w:r>
          </w:p>
        </w:tc>
      </w:tr>
    </w:tbl>
    <w:p>
      <w:pPr>
        <w:pStyle w:val="Heading3"/>
        <w:spacing w:after="120" w:before="260"/>
      </w:pPr>
      <w:r>
        <w:rPr>
          <w:b/>
          <w:bCs/>
          <w:color w:val="1F3864"/>
          <w:sz w:val="22"/>
          <w:szCs w:val="22"/>
        </w:rPr>
        <w:t xml:space="preserve">6.1 Cas particulier : Module &amp; Application</w:t>
      </w:r>
    </w:p>
    <w:p>
      <w:pPr>
        <w:spacing w:after="160" w:line="288"/>
      </w:pPr>
      <w:r>
        <w:rPr>
          <w:sz w:val="22"/>
          <w:szCs w:val="22"/>
        </w:rPr>
        <w:t xml:space="preserve">Le module Module (registre des modules) et Application (offres/packs commerciaux) ne sont pas des modules « métier » comme les autres : ce sont les briques qui géreraient précisément la modularisation elle-même (activation par tenant, association à des offres commerciales, permissions). Le fort out-degree de Module (32) s'explique uniquement par le fait qu'il importe les énumérations de permissions de tous les modules métier pour construire le catalogue — ce n'est pas un couplage fonctionnel réciproque et ne doit pas être lu comme une dépendance technique lourde.</w:t>
      </w:r>
    </w:p>
    <w:p>
      <w:pPr>
        <w:pStyle w:val="Heading1"/>
        <w:pBdr>
          <w:bottom w:val="single" w:color="1F3864" w:sz="6" w:space="4"/>
        </w:pBdr>
        <w:spacing w:after="200" w:before="400"/>
      </w:pPr>
      <w:r>
        <w:rPr>
          <w:b/>
          <w:bCs/>
          <w:color w:val="1F3864"/>
          <w:sz w:val="30"/>
          <w:szCs w:val="30"/>
        </w:rPr>
        <w:t xml:space="preserve">7. Dépendances circulaires à surveiller</w:t>
      </w:r>
    </w:p>
    <w:p>
      <w:pPr>
        <w:spacing w:after="160" w:line="288"/>
      </w:pPr>
      <w:r>
        <w:rPr>
          <w:sz w:val="22"/>
          <w:szCs w:val="22"/>
        </w:rPr>
        <w:t xml:space="preserve">L'analyse détecte des relations bidirectionnelles entre certains modules (A importe des classes de B, et B importe des classes de A). Ce n'est pas anormal dans une architecture actuelle basée sur des relations Eloquent croisées (belongsTo / hasMany), mais cela devient bloquant si l'on veut un jour extraire un module en package Composer indépendant : il faut alors casser le cycle via des interfaces, des events, ou des identifiants faiblement typés plutôt que des relations directes.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800"/>
        <w:gridCol w:w="5800"/>
      </w:tblGrid>
      <w:tr>
        <w:trPr>
          <w:tblHeader/>
        </w:trPr>
        <w:tc>
          <w:tcPr>
            <w:tcW w:type="dxa" w:w="3800"/>
            <w:shd w:fill="1F3864" w:color="auto" w:val="clear"/>
            <w:tcMar>
              <w:top w:type="dxa" w:w="80"/>
              <w:left w:type="dxa" w:w="100"/>
              <w:bottom w:type="dxa" w:w="80"/>
              <w:right w:type="dxa" w:w="100"/>
            </w:tcMar>
          </w:tcPr>
          <w:p>
            <w:pPr>
              <w:jc w:val="center"/>
            </w:pPr>
            <w:r>
              <w:rPr>
                <w:b/>
                <w:bCs/>
                <w:color w:val="FFFFFF"/>
                <w:sz w:val="20"/>
                <w:szCs w:val="20"/>
              </w:rPr>
              <w:t xml:space="preserve">Modules concernés</w:t>
            </w:r>
          </w:p>
        </w:tc>
        <w:tc>
          <w:tcPr>
            <w:tcW w:type="dxa" w:w="5800"/>
            <w:shd w:fill="1F3864" w:color="auto" w:val="clear"/>
            <w:tcMar>
              <w:top w:type="dxa" w:w="80"/>
              <w:left w:type="dxa" w:w="100"/>
              <w:bottom w:type="dxa" w:w="80"/>
              <w:right w:type="dxa" w:w="100"/>
            </w:tcMar>
          </w:tcPr>
          <w:p>
            <w:pPr>
              <w:jc w:val="center"/>
            </w:pPr>
            <w:r>
              <w:rPr>
                <w:b/>
                <w:bCs/>
                <w:color w:val="FFFFFF"/>
                <w:sz w:val="20"/>
                <w:szCs w:val="20"/>
              </w:rPr>
              <w:t xml:space="preserve">Origine probable du cycle</w:t>
            </w:r>
          </w:p>
        </w:tc>
      </w:tr>
      <w:tr>
        <w:tc>
          <w:tcPr>
            <w:tcW w:type="dxa" w:w="3800"/>
            <w:shd w:fill="FFFFFF" w:color="auto" w:val="clear"/>
            <w:tcMar>
              <w:top w:type="dxa" w:w="80"/>
              <w:left w:type="dxa" w:w="100"/>
              <w:bottom w:type="dxa" w:w="80"/>
              <w:right w:type="dxa" w:w="100"/>
            </w:tcMar>
          </w:tcPr>
          <w:p>
            <w:pPr>
              <w:jc w:val="left"/>
            </w:pPr>
            <w:r>
              <w:rPr>
                <w:b w:val="false"/>
                <w:bCs w:val="false"/>
                <w:color w:val="000000"/>
                <w:sz w:val="20"/>
                <w:szCs w:val="20"/>
              </w:rPr>
              <w:t xml:space="preserve">User ⇄ Society</w:t>
            </w:r>
          </w:p>
        </w:tc>
        <w:tc>
          <w:tcPr>
            <w:tcW w:type="dxa" w:w="5800"/>
            <w:shd w:fill="FFFFFF" w:color="auto" w:val="clear"/>
            <w:tcMar>
              <w:top w:type="dxa" w:w="80"/>
              <w:left w:type="dxa" w:w="100"/>
              <w:bottom w:type="dxa" w:w="80"/>
              <w:right w:type="dxa" w:w="100"/>
            </w:tcMar>
          </w:tcPr>
          <w:p>
            <w:pPr>
              <w:jc w:val="center"/>
            </w:pPr>
            <w:r>
              <w:rPr>
                <w:b w:val="false"/>
                <w:bCs w:val="false"/>
                <w:color w:val="000000"/>
                <w:sz w:val="20"/>
                <w:szCs w:val="20"/>
              </w:rPr>
              <w:t xml:space="preserve">Un utilisateur appartient à une société et une société référence ses utilisateurs.</w:t>
            </w:r>
          </w:p>
        </w:tc>
      </w:tr>
      <w:tr>
        <w:tc>
          <w:tcPr>
            <w:tcW w:type="dxa" w:w="3800"/>
            <w:shd w:fill="F2F2F2" w:color="auto" w:val="clear"/>
            <w:tcMar>
              <w:top w:type="dxa" w:w="80"/>
              <w:left w:type="dxa" w:w="100"/>
              <w:bottom w:type="dxa" w:w="80"/>
              <w:right w:type="dxa" w:w="100"/>
            </w:tcMar>
          </w:tcPr>
          <w:p>
            <w:pPr>
              <w:jc w:val="left"/>
            </w:pPr>
            <w:r>
              <w:rPr>
                <w:b w:val="false"/>
                <w:bCs w:val="false"/>
                <w:color w:val="000000"/>
                <w:sz w:val="20"/>
                <w:szCs w:val="20"/>
              </w:rPr>
              <w:t xml:space="preserve">Contact ⇄ Invoice / Estimate / Project / Pipeline</w:t>
            </w:r>
          </w:p>
        </w:tc>
        <w:tc>
          <w:tcPr>
            <w:tcW w:type="dxa" w:w="5800"/>
            <w:shd w:fill="F2F2F2" w:color="auto" w:val="clear"/>
            <w:tcMar>
              <w:top w:type="dxa" w:w="80"/>
              <w:left w:type="dxa" w:w="100"/>
              <w:bottom w:type="dxa" w:w="80"/>
              <w:right w:type="dxa" w:w="100"/>
            </w:tcMar>
          </w:tcPr>
          <w:p>
            <w:pPr>
              <w:jc w:val="center"/>
            </w:pPr>
            <w:r>
              <w:rPr>
                <w:b w:val="false"/>
                <w:bCs w:val="false"/>
                <w:color w:val="000000"/>
                <w:sz w:val="20"/>
                <w:szCs w:val="20"/>
              </w:rPr>
              <w:t xml:space="preserve">Un contact possède des factures/devis/projets, et ces objets référencent leur contact.</w:t>
            </w:r>
          </w:p>
        </w:tc>
      </w:tr>
      <w:tr>
        <w:tc>
          <w:tcPr>
            <w:tcW w:type="dxa" w:w="3800"/>
            <w:shd w:fill="FFFFFF" w:color="auto" w:val="clear"/>
            <w:tcMar>
              <w:top w:type="dxa" w:w="80"/>
              <w:left w:type="dxa" w:w="100"/>
              <w:bottom w:type="dxa" w:w="80"/>
              <w:right w:type="dxa" w:w="100"/>
            </w:tcMar>
          </w:tcPr>
          <w:p>
            <w:pPr>
              <w:jc w:val="left"/>
            </w:pPr>
            <w:r>
              <w:rPr>
                <w:b w:val="false"/>
                <w:bCs w:val="false"/>
                <w:color w:val="000000"/>
                <w:sz w:val="20"/>
                <w:szCs w:val="20"/>
              </w:rPr>
              <w:t xml:space="preserve">Invoice ⇄ Project</w:t>
            </w:r>
          </w:p>
        </w:tc>
        <w:tc>
          <w:tcPr>
            <w:tcW w:type="dxa" w:w="5800"/>
            <w:shd w:fill="FFFFFF" w:color="auto" w:val="clear"/>
            <w:tcMar>
              <w:top w:type="dxa" w:w="80"/>
              <w:left w:type="dxa" w:w="100"/>
              <w:bottom w:type="dxa" w:w="80"/>
              <w:right w:type="dxa" w:w="100"/>
            </w:tcMar>
          </w:tcPr>
          <w:p>
            <w:pPr>
              <w:jc w:val="center"/>
            </w:pPr>
            <w:r>
              <w:rPr>
                <w:b w:val="false"/>
                <w:bCs w:val="false"/>
                <w:color w:val="000000"/>
                <w:sz w:val="20"/>
                <w:szCs w:val="20"/>
              </w:rPr>
              <w:t xml:space="preserve">Une facture peut être liée à un projet, un projet peut lister ses factures.</w:t>
            </w:r>
          </w:p>
        </w:tc>
      </w:tr>
      <w:tr>
        <w:tc>
          <w:tcPr>
            <w:tcW w:type="dxa" w:w="3800"/>
            <w:shd w:fill="F2F2F2" w:color="auto" w:val="clear"/>
            <w:tcMar>
              <w:top w:type="dxa" w:w="80"/>
              <w:left w:type="dxa" w:w="100"/>
              <w:bottom w:type="dxa" w:w="80"/>
              <w:right w:type="dxa" w:w="100"/>
            </w:tcMar>
          </w:tcPr>
          <w:p>
            <w:pPr>
              <w:jc w:val="left"/>
            </w:pPr>
            <w:r>
              <w:rPr>
                <w:b w:val="false"/>
                <w:bCs w:val="false"/>
                <w:color w:val="000000"/>
                <w:sz w:val="20"/>
                <w:szCs w:val="20"/>
              </w:rPr>
              <w:t xml:space="preserve">Product ⇄ Shop</w:t>
            </w:r>
          </w:p>
        </w:tc>
        <w:tc>
          <w:tcPr>
            <w:tcW w:type="dxa" w:w="5800"/>
            <w:shd w:fill="F2F2F2" w:color="auto" w:val="clear"/>
            <w:tcMar>
              <w:top w:type="dxa" w:w="80"/>
              <w:left w:type="dxa" w:w="100"/>
              <w:bottom w:type="dxa" w:w="80"/>
              <w:right w:type="dxa" w:w="100"/>
            </w:tcMar>
          </w:tcPr>
          <w:p>
            <w:pPr>
              <w:jc w:val="center"/>
            </w:pPr>
            <w:r>
              <w:rPr>
                <w:b w:val="false"/>
                <w:bCs w:val="false"/>
                <w:color w:val="000000"/>
                <w:sz w:val="20"/>
                <w:szCs w:val="20"/>
              </w:rPr>
              <w:t xml:space="preserve">Le catalogue produit est vendu par la boutique, la boutique référence les fiches produit.</w:t>
            </w:r>
          </w:p>
        </w:tc>
      </w:tr>
      <w:tr>
        <w:tc>
          <w:tcPr>
            <w:tcW w:type="dxa" w:w="3800"/>
            <w:shd w:fill="FFFFFF" w:color="auto" w:val="clear"/>
            <w:tcMar>
              <w:top w:type="dxa" w:w="80"/>
              <w:left w:type="dxa" w:w="100"/>
              <w:bottom w:type="dxa" w:w="80"/>
              <w:right w:type="dxa" w:w="100"/>
            </w:tcMar>
          </w:tcPr>
          <w:p>
            <w:pPr>
              <w:jc w:val="left"/>
            </w:pPr>
            <w:r>
              <w:rPr>
                <w:b w:val="false"/>
                <w:bCs w:val="false"/>
                <w:color w:val="000000"/>
                <w:sz w:val="20"/>
                <w:szCs w:val="20"/>
              </w:rPr>
              <w:t xml:space="preserve">Payslip ⇄ SalaryAdvance</w:t>
            </w:r>
          </w:p>
        </w:tc>
        <w:tc>
          <w:tcPr>
            <w:tcW w:type="dxa" w:w="5800"/>
            <w:shd w:fill="FFFFFF" w:color="auto" w:val="clear"/>
            <w:tcMar>
              <w:top w:type="dxa" w:w="80"/>
              <w:left w:type="dxa" w:w="100"/>
              <w:bottom w:type="dxa" w:w="80"/>
              <w:right w:type="dxa" w:w="100"/>
            </w:tcMar>
          </w:tcPr>
          <w:p>
            <w:pPr>
              <w:jc w:val="center"/>
            </w:pPr>
            <w:r>
              <w:rPr>
                <w:b w:val="false"/>
                <w:bCs w:val="false"/>
                <w:color w:val="000000"/>
                <w:sz w:val="20"/>
                <w:szCs w:val="20"/>
              </w:rPr>
              <w:t xml:space="preserve">La fiche de paie tient compte des avances sur salaire déjà accordées.</w:t>
            </w:r>
          </w:p>
        </w:tc>
      </w:tr>
      <w:tr>
        <w:tc>
          <w:tcPr>
            <w:tcW w:type="dxa" w:w="3800"/>
            <w:shd w:fill="F2F2F2" w:color="auto" w:val="clear"/>
            <w:tcMar>
              <w:top w:type="dxa" w:w="80"/>
              <w:left w:type="dxa" w:w="100"/>
              <w:bottom w:type="dxa" w:w="80"/>
              <w:right w:type="dxa" w:w="100"/>
            </w:tcMar>
          </w:tcPr>
          <w:p>
            <w:pPr>
              <w:jc w:val="left"/>
            </w:pPr>
            <w:r>
              <w:rPr>
                <w:b w:val="false"/>
                <w:bCs w:val="false"/>
                <w:color w:val="000000"/>
                <w:sz w:val="20"/>
                <w:szCs w:val="20"/>
              </w:rPr>
              <w:t xml:space="preserve">Project ⇄ ProjectBudget / ProjectReporting / Story</w:t>
            </w:r>
          </w:p>
        </w:tc>
        <w:tc>
          <w:tcPr>
            <w:tcW w:type="dxa" w:w="5800"/>
            <w:shd w:fill="F2F2F2" w:color="auto" w:val="clear"/>
            <w:tcMar>
              <w:top w:type="dxa" w:w="80"/>
              <w:left w:type="dxa" w:w="100"/>
              <w:bottom w:type="dxa" w:w="80"/>
              <w:right w:type="dxa" w:w="100"/>
            </w:tcMar>
          </w:tcPr>
          <w:p>
            <w:pPr>
              <w:jc w:val="center"/>
            </w:pPr>
            <w:r>
              <w:rPr>
                <w:b w:val="false"/>
                <w:bCs w:val="false"/>
                <w:color w:val="000000"/>
                <w:sz w:val="20"/>
                <w:szCs w:val="20"/>
              </w:rPr>
              <w:t xml:space="preserve">Le projet pilote ses extensions, qui référencent en retour l'objet Project.</w:t>
            </w:r>
          </w:p>
        </w:tc>
      </w:tr>
      <w:tr>
        <w:tc>
          <w:tcPr>
            <w:tcW w:type="dxa" w:w="3800"/>
            <w:shd w:fill="FFFFFF" w:color="auto" w:val="clear"/>
            <w:tcMar>
              <w:top w:type="dxa" w:w="80"/>
              <w:left w:type="dxa" w:w="100"/>
              <w:bottom w:type="dxa" w:w="80"/>
              <w:right w:type="dxa" w:w="100"/>
            </w:tcMar>
          </w:tcPr>
          <w:p>
            <w:pPr>
              <w:jc w:val="left"/>
            </w:pPr>
            <w:r>
              <w:rPr>
                <w:b w:val="false"/>
                <w:bCs w:val="false"/>
                <w:color w:val="000000"/>
                <w:sz w:val="20"/>
                <w:szCs w:val="20"/>
              </w:rPr>
              <w:t xml:space="preserve">Event ⇄ Shop / TemplateBuilder / Synchronisation / Nps</w:t>
            </w:r>
          </w:p>
        </w:tc>
        <w:tc>
          <w:tcPr>
            <w:tcW w:type="dxa" w:w="5800"/>
            <w:shd w:fill="FFFFFF" w:color="auto" w:val="clear"/>
            <w:tcMar>
              <w:top w:type="dxa" w:w="80"/>
              <w:left w:type="dxa" w:w="100"/>
              <w:bottom w:type="dxa" w:w="80"/>
              <w:right w:type="dxa" w:w="100"/>
            </w:tcMar>
          </w:tcPr>
          <w:p>
            <w:pPr>
              <w:jc w:val="center"/>
            </w:pPr>
            <w:r>
              <w:rPr>
                <w:b w:val="false"/>
                <w:bCs w:val="false"/>
                <w:color w:val="000000"/>
                <w:sz w:val="20"/>
                <w:szCs w:val="20"/>
              </w:rPr>
              <w:t xml:space="preserve">Le module Événementiel s'appuie sur plusieurs modules annexes qui le référencent en retour.</w:t>
            </w:r>
          </w:p>
        </w:tc>
      </w:tr>
    </w:tbl>
    <w:p>
      <w:pPr>
        <w:spacing w:after="160" w:line="288"/>
      </w:pPr>
      <w:r>
        <w:rPr>
          <w:sz w:val="22"/>
          <w:szCs w:val="22"/>
        </w:rPr>
        <w:t xml:space="preserve">Le cycle le plus significatif reste User ⇄ Society : c'est attendu et sain, ces deux modules formant justement le socle et n'ayant pas vocation à être séparés.</w:t>
      </w:r>
    </w:p>
    <w:p>
      <w:pPr>
        <w:pStyle w:val="Heading1"/>
        <w:pBdr>
          <w:bottom w:val="single" w:color="1F3864" w:sz="6" w:space="4"/>
        </w:pBdr>
        <w:spacing w:after="200" w:before="400"/>
      </w:pPr>
      <w:r>
        <w:rPr>
          <w:b/>
          <w:bCs/>
          <w:color w:val="1F3864"/>
          <w:sz w:val="30"/>
          <w:szCs w:val="30"/>
        </w:rPr>
        <w:t xml:space="preserve">8. Recommandations d'architecture</w:t>
      </w:r>
    </w:p>
    <w:p>
      <w:pPr>
        <w:pStyle w:val="Heading2"/>
        <w:spacing w:after="160" w:before="320"/>
      </w:pPr>
      <w:r>
        <w:rPr>
          <w:b/>
          <w:bCs/>
          <w:color w:val="2E5395"/>
          <w:sz w:val="25"/>
          <w:szCs w:val="25"/>
        </w:rPr>
        <w:t xml:space="preserve">8.1 Trois cercles de modularisation</w:t>
      </w:r>
    </w:p>
    <w:p>
      <w:pPr>
        <w:pStyle w:val="ListParagraph"/>
        <w:numPr>
          <w:ilvl w:val="0"/>
          <w:numId w:val="2"/>
        </w:numPr>
        <w:spacing w:after="90" w:line="276"/>
      </w:pPr>
      <w:r>
        <w:rPr>
          <w:sz w:val="22"/>
          <w:szCs w:val="22"/>
        </w:rPr>
        <w:t xml:space="preserve">Cercle 1 — Core (toujours chargé) : Central, User, Society, Setting, Contact. Ne fait l'objet d'aucune activation/désactivation.</w:t>
      </w:r>
    </w:p>
    <w:p>
      <w:pPr>
        <w:pStyle w:val="ListParagraph"/>
        <w:numPr>
          <w:ilvl w:val="0"/>
          <w:numId w:val="2"/>
        </w:numPr>
        <w:spacing w:after="90" w:line="276"/>
      </w:pPr>
      <w:r>
        <w:rPr>
          <w:sz w:val="22"/>
          <w:szCs w:val="22"/>
        </w:rPr>
        <w:t xml:space="preserve">Cercle 2 — Services partagés (activés en cascade) : Product, Invoice, Project, Pipeline, Notification, Event, PostOffice, Personal, Appointment, Log, License, Expense, Estimate, Account, Holiday, Payslip, Story, Application, Module. Activés automatiquement dès qu'un module métier du cercle 3 en dépend (ex. activer « Facturation complète » active Invoice + Estimate + Product).</w:t>
      </w:r>
    </w:p>
    <w:p>
      <w:pPr>
        <w:pStyle w:val="ListParagraph"/>
        <w:numPr>
          <w:ilvl w:val="0"/>
          <w:numId w:val="2"/>
        </w:numPr>
        <w:spacing w:after="90" w:line="276"/>
      </w:pPr>
      <w:r>
        <w:rPr>
          <w:sz w:val="22"/>
          <w:szCs w:val="22"/>
        </w:rPr>
        <w:t xml:space="preserve">Cercle 3 — Modules métier (activables/désactivables à la carte) : le reste, regroupé en packs commerciaux cohérents avec SuitAppsEnum (CRM, RH, FINANCE, STOCK, PROJECT, COMMUNICATION, NOTARIAL, EVENT_PORTAL, FLEET, INFLUENCER_MANAGEMENT, HELPDESK…).</w:t>
      </w:r>
    </w:p>
    <w:p>
      <w:pPr>
        <w:pStyle w:val="Heading2"/>
        <w:spacing w:after="160" w:before="320"/>
      </w:pPr>
      <w:r>
        <w:rPr>
          <w:b/>
          <w:bCs/>
          <w:color w:val="2E5395"/>
          <w:sz w:val="25"/>
          <w:szCs w:val="25"/>
        </w:rPr>
        <w:t xml:space="preserve">8.2 Prioriser l'extraction technique par les « quick wins »</w:t>
      </w:r>
    </w:p>
    <w:p>
      <w:pPr>
        <w:spacing w:after="160" w:line="288"/>
      </w:pPr>
      <w:r>
        <w:rPr>
          <w:sz w:val="22"/>
          <w:szCs w:val="22"/>
        </w:rPr>
        <w:t xml:space="preserve">Pour une extraction progressive en packages séparés (Composer packages / modules chargés dynamiquement), commencer par les modules à zéro ou très faible dépendance entrante ET sortante — le risque de régression y est minimal :</w:t>
      </w:r>
    </w:p>
    <w:p>
      <w:pPr>
        <w:pStyle w:val="ListParagraph"/>
        <w:numPr>
          <w:ilvl w:val="0"/>
          <w:numId w:val="2"/>
        </w:numPr>
        <w:spacing w:after="90" w:line="276"/>
      </w:pPr>
      <w:r>
        <w:rPr>
          <w:sz w:val="22"/>
          <w:szCs w:val="22"/>
        </w:rPr>
        <w:t xml:space="preserve">Totalement autonomes (0 dépendant, 0 dépendance) : FileManager, Mattermost.</w:t>
      </w:r>
    </w:p>
    <w:p>
      <w:pPr>
        <w:pStyle w:val="ListParagraph"/>
        <w:numPr>
          <w:ilvl w:val="0"/>
          <w:numId w:val="2"/>
        </w:numPr>
        <w:spacing w:after="90" w:line="276"/>
      </w:pPr>
      <w:r>
        <w:rPr>
          <w:sz w:val="22"/>
          <w:szCs w:val="22"/>
        </w:rPr>
        <w:t xml:space="preserve">Quasi autonomes (0-1 dépendant, faible dépendance) : PushNotification, Influencer, Schedule, OnlyOffice, ExternalApplications, Karaoke.</w:t>
      </w:r>
    </w:p>
    <w:p>
      <w:pPr>
        <w:pStyle w:val="ListParagraph"/>
        <w:numPr>
          <w:ilvl w:val="0"/>
          <w:numId w:val="2"/>
        </w:numPr>
        <w:spacing w:after="90" w:line="276"/>
      </w:pPr>
      <w:r>
        <w:rPr>
          <w:sz w:val="22"/>
          <w:szCs w:val="22"/>
        </w:rPr>
        <w:t xml:space="preserve">À traiter en second temps (couplage modéré, 2-5 dépendants) : Nps, Survey, Qvct, Fleet, Material, ArchiveFolder, Chat, Webhook, TemplateBuilder.</w:t>
      </w:r>
    </w:p>
    <w:p>
      <w:pPr>
        <w:pStyle w:val="Heading2"/>
        <w:spacing w:after="160" w:before="320"/>
      </w:pPr>
      <w:r>
        <w:rPr>
          <w:b/>
          <w:bCs/>
          <w:color w:val="2E5395"/>
          <w:sz w:val="25"/>
          <w:szCs w:val="25"/>
        </w:rPr>
        <w:t xml:space="preserve">8.3 Casser les couplages directs restants</w:t>
      </w:r>
    </w:p>
    <w:p>
      <w:pPr>
        <w:pStyle w:val="ListParagraph"/>
        <w:numPr>
          <w:ilvl w:val="0"/>
          <w:numId w:val="2"/>
        </w:numPr>
        <w:spacing w:after="90" w:line="276"/>
      </w:pPr>
      <w:r>
        <w:rPr>
          <w:sz w:val="22"/>
          <w:szCs w:val="22"/>
        </w:rPr>
        <w:t xml:space="preserve">Remplacer les relations Eloquent directes entre un module « cercle 3 » et un autre module « cercle 3 » par des événements (Laravel Events/Listeners) ou par une résolution via un identifiant + interface de résolution, pour permettre la désactivation de l'un sans casser l'autre.</w:t>
      </w:r>
    </w:p>
    <w:p>
      <w:pPr>
        <w:pStyle w:val="ListParagraph"/>
        <w:numPr>
          <w:ilvl w:val="0"/>
          <w:numId w:val="2"/>
        </w:numPr>
        <w:spacing w:after="90" w:line="276"/>
      </w:pPr>
      <w:r>
        <w:rPr>
          <w:sz w:val="22"/>
          <w:szCs w:val="22"/>
        </w:rPr>
        <w:t xml:space="preserve">Pour les modules agrégateurs (Dashboard, Widget, Statistic), prévoir un registre de « providers de données » alimenté dynamiquement par les modules actifs du tenant, plutôt que des imports statiques vers chaque module métier.</w:t>
      </w:r>
    </w:p>
    <w:p>
      <w:pPr>
        <w:pStyle w:val="ListParagraph"/>
        <w:numPr>
          <w:ilvl w:val="0"/>
          <w:numId w:val="2"/>
        </w:numPr>
        <w:spacing w:after="90" w:line="276"/>
      </w:pPr>
      <w:r>
        <w:rPr>
          <w:sz w:val="22"/>
          <w:szCs w:val="22"/>
        </w:rPr>
        <w:t xml:space="preserve">S'appuyer sur le mécanisme déjà existant (Module, ModuleInstall, SuitModulesEnum) comme source de vérité unique pour savoir quels modules charger au runtime par tenant, plutôt que de dupliquer cette logique.</w:t>
      </w:r>
    </w:p>
    <w:p>
      <w:r>
        <w:br w:type="page"/>
      </w:r>
    </w:p>
    <w:p>
      <w:pPr>
        <w:pStyle w:val="Heading1"/>
        <w:pBdr>
          <w:bottom w:val="single" w:color="1F3864" w:sz="6" w:space="4"/>
        </w:pBdr>
        <w:spacing w:after="200" w:before="400"/>
      </w:pPr>
      <w:r>
        <w:rPr>
          <w:b/>
          <w:bCs/>
          <w:color w:val="1F3864"/>
          <w:sz w:val="30"/>
          <w:szCs w:val="30"/>
        </w:rPr>
        <w:t xml:space="preserve">9. Tableau récapitulatif complet (63 modules)</w:t>
      </w:r>
    </w:p>
    <w:p>
      <w:pPr>
        <w:spacing w:after="160" w:line="288"/>
      </w:pPr>
      <w:r>
        <w:rPr>
          <w:sz w:val="22"/>
          <w:szCs w:val="22"/>
        </w:rPr>
        <w:t xml:space="preserve">Classement par degré entrant décroissant (transversalité).</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600"/>
        <w:gridCol w:w="1600"/>
        <w:gridCol w:w="3400"/>
      </w:tblGrid>
      <w:tr>
        <w:trPr>
          <w:tblHeader/>
        </w:trPr>
        <w:tc>
          <w:tcPr>
            <w:tcW w:type="dxa" w:w="3000"/>
            <w:shd w:fill="1F3864" w:color="auto" w:val="clear"/>
            <w:tcMar>
              <w:top w:type="dxa" w:w="80"/>
              <w:left w:type="dxa" w:w="100"/>
              <w:bottom w:type="dxa" w:w="80"/>
              <w:right w:type="dxa" w:w="100"/>
            </w:tcMar>
          </w:tcPr>
          <w:p>
            <w:pPr>
              <w:jc w:val="center"/>
            </w:pPr>
            <w:r>
              <w:rPr>
                <w:b/>
                <w:bCs/>
                <w:color w:val="FFFFFF"/>
                <w:sz w:val="20"/>
                <w:szCs w:val="20"/>
              </w:rPr>
              <w:t xml:space="preserve">Module</w:t>
            </w:r>
          </w:p>
        </w:tc>
        <w:tc>
          <w:tcPr>
            <w:tcW w:type="dxa" w:w="1600"/>
            <w:shd w:fill="1F3864" w:color="auto" w:val="clear"/>
            <w:tcMar>
              <w:top w:type="dxa" w:w="80"/>
              <w:left w:type="dxa" w:w="100"/>
              <w:bottom w:type="dxa" w:w="80"/>
              <w:right w:type="dxa" w:w="100"/>
            </w:tcMar>
          </w:tcPr>
          <w:p>
            <w:pPr>
              <w:jc w:val="center"/>
            </w:pPr>
            <w:r>
              <w:rPr>
                <w:b/>
                <w:bCs/>
                <w:color w:val="FFFFFF"/>
                <w:sz w:val="20"/>
                <w:szCs w:val="20"/>
              </w:rPr>
              <w:t xml:space="preserve">Dépendants</w:t>
            </w:r>
          </w:p>
        </w:tc>
        <w:tc>
          <w:tcPr>
            <w:tcW w:type="dxa" w:w="1600"/>
            <w:shd w:fill="1F3864" w:color="auto" w:val="clear"/>
            <w:tcMar>
              <w:top w:type="dxa" w:w="80"/>
              <w:left w:type="dxa" w:w="100"/>
              <w:bottom w:type="dxa" w:w="80"/>
              <w:right w:type="dxa" w:w="100"/>
            </w:tcMar>
          </w:tcPr>
          <w:p>
            <w:pPr>
              <w:jc w:val="center"/>
            </w:pPr>
            <w:r>
              <w:rPr>
                <w:b/>
                <w:bCs/>
                <w:color w:val="FFFFFF"/>
                <w:sz w:val="20"/>
                <w:szCs w:val="20"/>
              </w:rPr>
              <w:t xml:space="preserve">Dépendances</w:t>
            </w:r>
          </w:p>
        </w:tc>
        <w:tc>
          <w:tcPr>
            <w:tcW w:type="dxa" w:w="3400"/>
            <w:shd w:fill="1F3864" w:color="auto" w:val="clear"/>
            <w:tcMar>
              <w:top w:type="dxa" w:w="80"/>
              <w:left w:type="dxa" w:w="100"/>
              <w:bottom w:type="dxa" w:w="80"/>
              <w:right w:type="dxa" w:w="100"/>
            </w:tcMar>
          </w:tcPr>
          <w:p>
            <w:pPr>
              <w:jc w:val="center"/>
            </w:pPr>
            <w:r>
              <w:rPr>
                <w:b/>
                <w:bCs/>
                <w:color w:val="FFFFFF"/>
                <w:sz w:val="20"/>
                <w:szCs w:val="20"/>
              </w:rPr>
              <w:t xml:space="preserve">Catégorie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User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49</w:t>
            </w:r>
          </w:p>
        </w:tc>
        <w:tc>
          <w:tcPr>
            <w:tcW w:type="dxa" w:w="1600"/>
            <w:tcMar>
              <w:top w:type="dxa" w:w="80"/>
              <w:left w:type="dxa" w:w="100"/>
              <w:bottom w:type="dxa" w:w="80"/>
              <w:right w:type="dxa" w:w="100"/>
            </w:tcMar>
          </w:tcPr>
          <w:p>
            <w:pPr>
              <w:jc w:val="center"/>
            </w:pPr>
            <w:r>
              <w:rPr>
                <w:b w:val="false"/>
                <w:bCs w:val="false"/>
                <w:color w:val="000000"/>
                <w:sz w:val="20"/>
                <w:szCs w:val="20"/>
              </w:rPr>
              <w:t xml:space="preserve">38</w:t>
            </w:r>
          </w:p>
        </w:tc>
        <w:tc>
          <w:tcPr>
            <w:tcW w:type="dxa" w:w="3400"/>
            <w:shd w:fill="DCE6F1" w:color="auto" w:val="clear"/>
            <w:tcMar>
              <w:top w:type="dxa" w:w="80"/>
              <w:left w:type="dxa" w:w="100"/>
              <w:bottom w:type="dxa" w:w="80"/>
              <w:right w:type="dxa" w:w="100"/>
            </w:tcMar>
          </w:tcPr>
          <w:p>
            <w:pPr>
              <w:jc w:val="center"/>
            </w:pPr>
            <w:r>
              <w:rPr>
                <w:b w:val="false"/>
                <w:bCs w:val="false"/>
                <w:color w:val="000000"/>
                <w:sz w:val="18"/>
                <w:szCs w:val="18"/>
              </w:rPr>
              <w:t xml:space="preserve">Noyau 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Society</w:t>
            </w:r>
          </w:p>
        </w:tc>
        <w:tc>
          <w:tcPr>
            <w:tcW w:type="dxa" w:w="1600"/>
            <w:tcMar>
              <w:top w:type="dxa" w:w="80"/>
              <w:left w:type="dxa" w:w="100"/>
              <w:bottom w:type="dxa" w:w="80"/>
              <w:right w:type="dxa" w:w="100"/>
            </w:tcMar>
          </w:tcPr>
          <w:p>
            <w:pPr>
              <w:jc w:val="center"/>
            </w:pPr>
            <w:r>
              <w:rPr>
                <w:b w:val="false"/>
                <w:bCs w:val="false"/>
                <w:color w:val="000000"/>
                <w:sz w:val="20"/>
                <w:szCs w:val="20"/>
              </w:rPr>
              <w:t xml:space="preserve">36</w:t>
            </w:r>
          </w:p>
        </w:tc>
        <w:tc>
          <w:tcPr>
            <w:tcW w:type="dxa" w:w="1600"/>
            <w:tcMar>
              <w:top w:type="dxa" w:w="80"/>
              <w:left w:type="dxa" w:w="100"/>
              <w:bottom w:type="dxa" w:w="80"/>
              <w:right w:type="dxa" w:w="100"/>
            </w:tcMar>
          </w:tcPr>
          <w:p>
            <w:pPr>
              <w:jc w:val="center"/>
            </w:pPr>
            <w:r>
              <w:rPr>
                <w:b w:val="false"/>
                <w:bCs w:val="false"/>
                <w:color w:val="000000"/>
                <w:sz w:val="20"/>
                <w:szCs w:val="20"/>
              </w:rPr>
              <w:t xml:space="preserve">14</w:t>
            </w:r>
          </w:p>
        </w:tc>
        <w:tc>
          <w:tcPr>
            <w:tcW w:type="dxa" w:w="3400"/>
            <w:shd w:fill="DCE6F1" w:color="auto" w:val="clear"/>
            <w:tcMar>
              <w:top w:type="dxa" w:w="80"/>
              <w:left w:type="dxa" w:w="100"/>
              <w:bottom w:type="dxa" w:w="80"/>
              <w:right w:type="dxa" w:w="100"/>
            </w:tcMar>
          </w:tcPr>
          <w:p>
            <w:pPr>
              <w:jc w:val="center"/>
            </w:pPr>
            <w:r>
              <w:rPr>
                <w:b w:val="false"/>
                <w:bCs w:val="false"/>
                <w:color w:val="000000"/>
                <w:sz w:val="18"/>
                <w:szCs w:val="18"/>
              </w:rPr>
              <w:t xml:space="preserve">Noyau 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Contact</w:t>
            </w:r>
          </w:p>
        </w:tc>
        <w:tc>
          <w:tcPr>
            <w:tcW w:type="dxa" w:w="1600"/>
            <w:tcMar>
              <w:top w:type="dxa" w:w="80"/>
              <w:left w:type="dxa" w:w="100"/>
              <w:bottom w:type="dxa" w:w="80"/>
              <w:right w:type="dxa" w:w="100"/>
            </w:tcMar>
          </w:tcPr>
          <w:p>
            <w:pPr>
              <w:jc w:val="center"/>
            </w:pPr>
            <w:r>
              <w:rPr>
                <w:b w:val="false"/>
                <w:bCs w:val="false"/>
                <w:color w:val="000000"/>
                <w:sz w:val="20"/>
                <w:szCs w:val="20"/>
              </w:rPr>
              <w:t xml:space="preserve">24</w:t>
            </w:r>
          </w:p>
        </w:tc>
        <w:tc>
          <w:tcPr>
            <w:tcW w:type="dxa" w:w="1600"/>
            <w:tcMar>
              <w:top w:type="dxa" w:w="80"/>
              <w:left w:type="dxa" w:w="100"/>
              <w:bottom w:type="dxa" w:w="80"/>
              <w:right w:type="dxa" w:w="100"/>
            </w:tcMar>
          </w:tcPr>
          <w:p>
            <w:pPr>
              <w:jc w:val="center"/>
            </w:pPr>
            <w:r>
              <w:rPr>
                <w:b w:val="false"/>
                <w:bCs w:val="false"/>
                <w:color w:val="000000"/>
                <w:sz w:val="20"/>
                <w:szCs w:val="20"/>
              </w:rPr>
              <w:t xml:space="preserve">10</w:t>
            </w:r>
          </w:p>
        </w:tc>
        <w:tc>
          <w:tcPr>
            <w:tcW w:type="dxa" w:w="3400"/>
            <w:shd w:fill="DCE6F1" w:color="auto" w:val="clear"/>
            <w:tcMar>
              <w:top w:type="dxa" w:w="80"/>
              <w:left w:type="dxa" w:w="100"/>
              <w:bottom w:type="dxa" w:w="80"/>
              <w:right w:type="dxa" w:w="100"/>
            </w:tcMar>
          </w:tcPr>
          <w:p>
            <w:pPr>
              <w:jc w:val="center"/>
            </w:pPr>
            <w:r>
              <w:rPr>
                <w:b w:val="false"/>
                <w:bCs w:val="false"/>
                <w:color w:val="000000"/>
                <w:sz w:val="18"/>
                <w:szCs w:val="18"/>
              </w:rPr>
              <w:t xml:space="preserve">Noyau 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Setting</w:t>
            </w:r>
          </w:p>
        </w:tc>
        <w:tc>
          <w:tcPr>
            <w:tcW w:type="dxa" w:w="1600"/>
            <w:tcMar>
              <w:top w:type="dxa" w:w="80"/>
              <w:left w:type="dxa" w:w="100"/>
              <w:bottom w:type="dxa" w:w="80"/>
              <w:right w:type="dxa" w:w="100"/>
            </w:tcMar>
          </w:tcPr>
          <w:p>
            <w:pPr>
              <w:jc w:val="center"/>
            </w:pPr>
            <w:r>
              <w:rPr>
                <w:b w:val="false"/>
                <w:bCs w:val="false"/>
                <w:color w:val="000000"/>
                <w:sz w:val="20"/>
                <w:szCs w:val="20"/>
              </w:rPr>
              <w:t xml:space="preserve">24</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DCE6F1" w:color="auto" w:val="clear"/>
            <w:tcMar>
              <w:top w:type="dxa" w:w="80"/>
              <w:left w:type="dxa" w:w="100"/>
              <w:bottom w:type="dxa" w:w="80"/>
              <w:right w:type="dxa" w:w="100"/>
            </w:tcMar>
          </w:tcPr>
          <w:p>
            <w:pPr>
              <w:jc w:val="center"/>
            </w:pPr>
            <w:r>
              <w:rPr>
                <w:b w:val="false"/>
                <w:bCs w:val="false"/>
                <w:color w:val="000000"/>
                <w:sz w:val="18"/>
                <w:szCs w:val="18"/>
              </w:rPr>
              <w:t xml:space="preserve">Noyau 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Project</w:t>
            </w:r>
          </w:p>
        </w:tc>
        <w:tc>
          <w:tcPr>
            <w:tcW w:type="dxa" w:w="1600"/>
            <w:tcMar>
              <w:top w:type="dxa" w:w="80"/>
              <w:left w:type="dxa" w:w="100"/>
              <w:bottom w:type="dxa" w:w="80"/>
              <w:right w:type="dxa" w:w="100"/>
            </w:tcMar>
          </w:tcPr>
          <w:p>
            <w:pPr>
              <w:jc w:val="center"/>
            </w:pPr>
            <w:r>
              <w:rPr>
                <w:b w:val="false"/>
                <w:bCs w:val="false"/>
                <w:color w:val="000000"/>
                <w:sz w:val="20"/>
                <w:szCs w:val="20"/>
              </w:rPr>
              <w:t xml:space="preserve">16</w:t>
            </w:r>
          </w:p>
        </w:tc>
        <w:tc>
          <w:tcPr>
            <w:tcW w:type="dxa" w:w="1600"/>
            <w:tcMar>
              <w:top w:type="dxa" w:w="80"/>
              <w:left w:type="dxa" w:w="100"/>
              <w:bottom w:type="dxa" w:w="80"/>
              <w:right w:type="dxa" w:w="100"/>
            </w:tcMar>
          </w:tcPr>
          <w:p>
            <w:pPr>
              <w:jc w:val="center"/>
            </w:pPr>
            <w:r>
              <w:rPr>
                <w:b w:val="false"/>
                <w:bCs w:val="false"/>
                <w:color w:val="000000"/>
                <w:sz w:val="20"/>
                <w:szCs w:val="20"/>
              </w:rPr>
              <w:t xml:space="preserve">12</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Central</w:t>
            </w:r>
          </w:p>
        </w:tc>
        <w:tc>
          <w:tcPr>
            <w:tcW w:type="dxa" w:w="1600"/>
            <w:tcMar>
              <w:top w:type="dxa" w:w="80"/>
              <w:left w:type="dxa" w:w="100"/>
              <w:bottom w:type="dxa" w:w="80"/>
              <w:right w:type="dxa" w:w="100"/>
            </w:tcMar>
          </w:tcPr>
          <w:p>
            <w:pPr>
              <w:jc w:val="center"/>
            </w:pPr>
            <w:r>
              <w:rPr>
                <w:b w:val="false"/>
                <w:bCs w:val="false"/>
                <w:color w:val="000000"/>
                <w:sz w:val="20"/>
                <w:szCs w:val="20"/>
              </w:rPr>
              <w:t xml:space="preserve">14</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F2F2F2" w:color="auto" w:val="clear"/>
            <w:tcMar>
              <w:top w:type="dxa" w:w="80"/>
              <w:left w:type="dxa" w:w="100"/>
              <w:bottom w:type="dxa" w:w="80"/>
              <w:right w:type="dxa" w:w="100"/>
            </w:tcMar>
          </w:tcPr>
          <w:p>
            <w:pPr>
              <w:jc w:val="center"/>
            </w:pPr>
            <w:r>
              <w:rPr>
                <w:b w:val="false"/>
                <w:bCs w:val="false"/>
                <w:color w:val="000000"/>
                <w:sz w:val="18"/>
                <w:szCs w:val="18"/>
              </w:rPr>
              <w:t xml:space="preserve">Socle technique (tenancy)</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Invoice</w:t>
            </w:r>
          </w:p>
        </w:tc>
        <w:tc>
          <w:tcPr>
            <w:tcW w:type="dxa" w:w="1600"/>
            <w:tcMar>
              <w:top w:type="dxa" w:w="80"/>
              <w:left w:type="dxa" w:w="100"/>
              <w:bottom w:type="dxa" w:w="80"/>
              <w:right w:type="dxa" w:w="100"/>
            </w:tcMar>
          </w:tcPr>
          <w:p>
            <w:pPr>
              <w:jc w:val="center"/>
            </w:pPr>
            <w:r>
              <w:rPr>
                <w:b w:val="false"/>
                <w:bCs w:val="false"/>
                <w:color w:val="000000"/>
                <w:sz w:val="20"/>
                <w:szCs w:val="20"/>
              </w:rPr>
              <w:t xml:space="preserve">13</w:t>
            </w:r>
          </w:p>
        </w:tc>
        <w:tc>
          <w:tcPr>
            <w:tcW w:type="dxa" w:w="1600"/>
            <w:tcMar>
              <w:top w:type="dxa" w:w="80"/>
              <w:left w:type="dxa" w:w="100"/>
              <w:bottom w:type="dxa" w:w="80"/>
              <w:right w:type="dxa" w:w="100"/>
            </w:tcMar>
          </w:tcPr>
          <w:p>
            <w:pPr>
              <w:jc w:val="center"/>
            </w:pPr>
            <w:r>
              <w:rPr>
                <w:b w:val="false"/>
                <w:bCs w:val="false"/>
                <w:color w:val="000000"/>
                <w:sz w:val="20"/>
                <w:szCs w:val="20"/>
              </w:rPr>
              <w:t xml:space="preserve">12</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Event</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Notification</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Pipeline</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Product</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PostOffice</w:t>
            </w:r>
          </w:p>
        </w:tc>
        <w:tc>
          <w:tcPr>
            <w:tcW w:type="dxa" w:w="1600"/>
            <w:tcMar>
              <w:top w:type="dxa" w:w="80"/>
              <w:left w:type="dxa" w:w="100"/>
              <w:bottom w:type="dxa" w:w="80"/>
              <w:right w:type="dxa" w:w="100"/>
            </w:tcMar>
          </w:tcPr>
          <w:p>
            <w:pPr>
              <w:jc w:val="center"/>
            </w:pPr>
            <w:r>
              <w:rPr>
                <w:b w:val="false"/>
                <w:bCs w:val="false"/>
                <w:color w:val="000000"/>
                <w:sz w:val="20"/>
                <w:szCs w:val="20"/>
              </w:rPr>
              <w:t xml:space="preserve">9</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Appointment</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Personal</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1600"/>
            <w:tcMar>
              <w:top w:type="dxa" w:w="80"/>
              <w:left w:type="dxa" w:w="100"/>
              <w:bottom w:type="dxa" w:w="80"/>
              <w:right w:type="dxa" w:w="100"/>
            </w:tcMar>
          </w:tcPr>
          <w:p>
            <w:pPr>
              <w:jc w:val="center"/>
            </w:pPr>
            <w:r>
              <w:rPr>
                <w:b w:val="false"/>
                <w:bCs w:val="false"/>
                <w:color w:val="000000"/>
                <w:sz w:val="20"/>
                <w:szCs w:val="20"/>
              </w:rPr>
              <w:t xml:space="preserve">9</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Estimate</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Expense</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License</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Log</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Account</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Holiday</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Payslip</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1600"/>
            <w:tcMar>
              <w:top w:type="dxa" w:w="80"/>
              <w:left w:type="dxa" w:w="100"/>
              <w:bottom w:type="dxa" w:w="80"/>
              <w:right w:type="dxa" w:w="100"/>
            </w:tcMar>
          </w:tcPr>
          <w:p>
            <w:pPr>
              <w:jc w:val="center"/>
            </w:pPr>
            <w:r>
              <w:rPr>
                <w:b w:val="false"/>
                <w:bCs w:val="false"/>
                <w:color w:val="000000"/>
                <w:sz w:val="20"/>
                <w:szCs w:val="20"/>
              </w:rPr>
              <w:t xml:space="preserve">14</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Story</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D9E2F3" w:color="auto" w:val="clear"/>
            <w:tcMar>
              <w:top w:type="dxa" w:w="80"/>
              <w:left w:type="dxa" w:w="100"/>
              <w:bottom w:type="dxa" w:w="80"/>
              <w:right w:type="dxa" w:w="100"/>
            </w:tcMar>
          </w:tcPr>
          <w:p>
            <w:pPr>
              <w:jc w:val="center"/>
            </w:pPr>
            <w:r>
              <w:rPr>
                <w:b w:val="false"/>
                <w:bCs w:val="false"/>
                <w:color w:val="000000"/>
                <w:sz w:val="18"/>
                <w:szCs w:val="18"/>
              </w:rPr>
              <w:t xml:space="preserve">Semi-transversal</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Application</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Module</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1600"/>
            <w:tcMar>
              <w:top w:type="dxa" w:w="80"/>
              <w:left w:type="dxa" w:w="100"/>
              <w:bottom w:type="dxa" w:w="80"/>
              <w:right w:type="dxa" w:w="100"/>
            </w:tcMar>
          </w:tcPr>
          <w:p>
            <w:pPr>
              <w:jc w:val="center"/>
            </w:pPr>
            <w:r>
              <w:rPr>
                <w:b w:val="false"/>
                <w:bCs w:val="false"/>
                <w:color w:val="000000"/>
                <w:sz w:val="20"/>
                <w:szCs w:val="20"/>
              </w:rPr>
              <w:t xml:space="preserve">32</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Contract</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Form</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Helpdesk</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Messaging</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ProjectReporting</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Synchronisation</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Chat</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FolderManager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ProjectBudget</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7</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SalaryAdvance</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TemplateBuilder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Webhook</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ArchiveFolder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Employee</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Fleet</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Material</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Nps</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Objective</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PromoCode</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PushNotification</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Qvct</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Shop</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Survey</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ValidationCircuit</w:t>
            </w:r>
          </w:p>
        </w:tc>
        <w:tc>
          <w:tcPr>
            <w:tcW w:type="dxa" w:w="1600"/>
            <w:tcMar>
              <w:top w:type="dxa" w:w="80"/>
              <w:left w:type="dxa" w:w="100"/>
              <w:bottom w:type="dxa" w:w="80"/>
              <w:right w:type="dxa" w:w="100"/>
            </w:tcMar>
          </w:tcPr>
          <w:p>
            <w:pPr>
              <w:jc w:val="center"/>
            </w:pPr>
            <w:r>
              <w:rPr>
                <w:b w:val="false"/>
                <w:bCs w:val="false"/>
                <w:color w:val="000000"/>
                <w:sz w:val="20"/>
                <w:szCs w:val="20"/>
              </w:rPr>
              <w:t xml:space="preserve">2</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Access</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CustomerPortal</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ExternalApplications</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Influencer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Normalization</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3</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OnlyOffice</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RetroPlanning</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5</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Schedule</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WebMail</w:t>
            </w:r>
          </w:p>
        </w:tc>
        <w:tc>
          <w:tcPr>
            <w:tcW w:type="dxa" w:w="1600"/>
            <w:tcMar>
              <w:top w:type="dxa" w:w="80"/>
              <w:left w:type="dxa" w:w="100"/>
              <w:bottom w:type="dxa" w:w="80"/>
              <w:right w:type="dxa" w:w="100"/>
            </w:tcMar>
          </w:tcPr>
          <w:p>
            <w:pPr>
              <w:jc w:val="center"/>
            </w:pPr>
            <w:r>
              <w:rPr>
                <w:b w:val="false"/>
                <w:bCs w:val="false"/>
                <w:color w:val="000000"/>
                <w:sz w:val="20"/>
                <w:szCs w:val="20"/>
              </w:rPr>
              <w:t xml:space="preserve">1</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Dashboard</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8</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FileManager</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Karaoke</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4</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Mattermost</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Statistic</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6</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r>
        <w:tc>
          <w:tcPr>
            <w:tcW w:type="dxa" w:w="3000"/>
            <w:tcMar>
              <w:top w:type="dxa" w:w="80"/>
              <w:left w:type="dxa" w:w="100"/>
              <w:bottom w:type="dxa" w:w="80"/>
              <w:right w:type="dxa" w:w="100"/>
            </w:tcMar>
          </w:tcPr>
          <w:p>
            <w:pPr>
              <w:jc w:val="left"/>
            </w:pPr>
            <w:r>
              <w:rPr>
                <w:b w:val="false"/>
                <w:bCs w:val="false"/>
                <w:color w:val="000000"/>
                <w:sz w:val="20"/>
                <w:szCs w:val="20"/>
              </w:rPr>
              <w:t xml:space="preserve">Widget</w:t>
            </w:r>
          </w:p>
        </w:tc>
        <w:tc>
          <w:tcPr>
            <w:tcW w:type="dxa" w:w="1600"/>
            <w:tcMar>
              <w:top w:type="dxa" w:w="80"/>
              <w:left w:type="dxa" w:w="100"/>
              <w:bottom w:type="dxa" w:w="80"/>
              <w:right w:type="dxa" w:w="100"/>
            </w:tcMar>
          </w:tcPr>
          <w:p>
            <w:pPr>
              <w:jc w:val="center"/>
            </w:pPr>
            <w:r>
              <w:rPr>
                <w:b w:val="false"/>
                <w:bCs w:val="false"/>
                <w:color w:val="000000"/>
                <w:sz w:val="20"/>
                <w:szCs w:val="20"/>
              </w:rPr>
              <w:t xml:space="preserve">0</w:t>
            </w:r>
          </w:p>
        </w:tc>
        <w:tc>
          <w:tcPr>
            <w:tcW w:type="dxa" w:w="1600"/>
            <w:tcMar>
              <w:top w:type="dxa" w:w="80"/>
              <w:left w:type="dxa" w:w="100"/>
              <w:bottom w:type="dxa" w:w="80"/>
              <w:right w:type="dxa" w:w="100"/>
            </w:tcMar>
          </w:tcPr>
          <w:p>
            <w:pPr>
              <w:jc w:val="center"/>
            </w:pPr>
            <w:r>
              <w:rPr>
                <w:b w:val="false"/>
                <w:bCs w:val="false"/>
                <w:color w:val="000000"/>
                <w:sz w:val="20"/>
                <w:szCs w:val="20"/>
              </w:rPr>
              <w:t xml:space="preserve">11</w:t>
            </w:r>
          </w:p>
        </w:tc>
        <w:tc>
          <w:tcPr>
            <w:tcW w:type="dxa" w:w="3400"/>
            <w:shd w:fill="FCE4D6" w:color="auto" w:val="clear"/>
            <w:tcMar>
              <w:top w:type="dxa" w:w="80"/>
              <w:left w:type="dxa" w:w="100"/>
              <w:bottom w:type="dxa" w:w="80"/>
              <w:right w:type="dxa" w:w="100"/>
            </w:tcMar>
          </w:tcPr>
          <w:p>
            <w:pPr>
              <w:jc w:val="center"/>
            </w:pPr>
            <w:r>
              <w:rPr>
                <w:b w:val="false"/>
                <w:bCs w:val="false"/>
                <w:color w:val="000000"/>
                <w:sz w:val="18"/>
                <w:szCs w:val="18"/>
              </w:rPr>
              <w:t xml:space="preserve">Métier autonome</w:t>
            </w:r>
          </w:p>
        </w:tc>
      </w:tr>
    </w:tbl>
    <w:p>
      <w:r>
        <w:br w:type="page"/>
      </w:r>
    </w:p>
    <w:p>
      <w:pPr>
        <w:pStyle w:val="Heading1"/>
        <w:pBdr>
          <w:bottom w:val="single" w:color="1F3864" w:sz="6" w:space="4"/>
        </w:pBdr>
        <w:spacing w:after="200" w:before="400"/>
      </w:pPr>
      <w:r>
        <w:rPr>
          <w:b/>
          <w:bCs/>
          <w:color w:val="1F3864"/>
          <w:sz w:val="30"/>
          <w:szCs w:val="30"/>
        </w:rPr>
        <w:t xml:space="preserve">11. Installer un module doit-il installer ses dépendances ?</w:t>
      </w:r>
    </w:p>
    <w:p>
      <w:pPr>
        <w:spacing w:after="160" w:line="288"/>
      </w:pPr>
      <w:r>
        <w:rPr>
          <w:sz w:val="22"/>
          <w:szCs w:val="22"/>
        </w:rPr>
        <w:t xml:space="preserve">Question concrète posée sur le module Shop : si un tenant installe Shop, faut-il que Product (et Contact) soient activés automatiquement pour lui ? La réponse aujourd'hui est non — le mécanisme d'installation ne fait aucune résolution de dépendances. Les deux schémas ci-dessous comparent le comportement actuel et le comportement recommandé.</w:t>
      </w:r>
    </w:p>
    <w:p>
      <w:pPr>
        <w:pStyle w:val="Heading2"/>
        <w:spacing w:after="160" w:before="320"/>
      </w:pPr>
      <w:r>
        <w:rPr>
          <w:b/>
          <w:bCs/>
          <w:color w:val="2E5395"/>
          <w:sz w:val="25"/>
          <w:szCs w:val="25"/>
        </w:rPr>
        <w:t xml:space="preserve">11.1 Comportement actuel</w:t>
      </w:r>
    </w:p>
    <w:p>
      <w:pPr>
        <w:spacing w:after="160" w:line="288"/>
      </w:pPr>
      <w:r>
        <w:rPr>
          <w:sz w:val="22"/>
          <w:szCs w:val="22"/>
        </w:rPr>
        <w:t xml:space="preserve">Le contrôleur ModuleController::installModules() insère directement en base les modules demandés (ou tous les modules du pack demandé), sans vérifier ni activer les modules dont ils dépendent fonctionnellement. L'installation « réussit » techniquement même si des dépendances manquent — le problème n'apparaît qu'à l'usage.</w:t>
      </w:r>
    </w:p>
    <w:p>
      <w:pPr>
        <w:spacing w:after="120" w:before="120"/>
        <w:jc w:val="center"/>
      </w:pPr>
      <w:r>
        <w:drawing>
          <wp:inline distT="0" distB="0" distL="0" distR="0">
            <wp:extent cx="49530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143250"/>
                    </a:xfrm>
                    <a:prstGeom prst="rect">
                      <a:avLst/>
                    </a:prstGeom>
                  </pic:spPr>
                </pic:pic>
              </a:graphicData>
            </a:graphic>
          </wp:inline>
        </w:drawing>
      </w:r>
    </w:p>
    <w:p>
      <w:pPr>
        <w:pStyle w:val="Heading2"/>
        <w:spacing w:after="160" w:before="320"/>
      </w:pPr>
      <w:r>
        <w:rPr>
          <w:b/>
          <w:bCs/>
          <w:color w:val="2E5395"/>
          <w:sz w:val="25"/>
          <w:szCs w:val="25"/>
        </w:rPr>
        <w:t xml:space="preserve">11.2 Comportement recommandé</w:t>
      </w:r>
    </w:p>
    <w:p>
      <w:pPr>
        <w:spacing w:after="160" w:line="288"/>
      </w:pPr>
      <w:r>
        <w:rPr>
          <w:sz w:val="22"/>
          <w:szCs w:val="22"/>
        </w:rPr>
        <w:t xml:space="preserve">La correction proposée ajoute une étape de résolution : avant d'écrire dans ModuleInstall, le contrôleur consulte une carte de dépendances (déclarée une fois, par exemple sous forme de méthode getDependencies() sur SuitModulesEnum) et ajoute automatiquement à la liste d'installation tout module manquant. On applique le même principe, dans l'autre sens, pour empêcher une désinstallation qui casserait un module encore actif.</w:t>
      </w:r>
    </w:p>
    <w:p>
      <w:pPr>
        <w:spacing w:after="120" w:before="120"/>
        <w:jc w:val="center"/>
      </w:pPr>
      <w:r>
        <w:drawing>
          <wp:inline distT="0" distB="0" distL="0" distR="0">
            <wp:extent cx="4953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0" cy="3743325"/>
                    </a:xfrm>
                    <a:prstGeom prst="rect">
                      <a:avLst/>
                    </a:prstGeom>
                  </pic:spPr>
                </pic:pic>
              </a:graphicData>
            </a:graphic>
          </wp:inline>
        </w:drawing>
      </w:r>
    </w:p>
    <w:p>
      <w:pPr>
        <w:pStyle w:val="Heading2"/>
        <w:spacing w:after="160" w:before="320"/>
      </w:pPr>
      <w:r>
        <w:rPr>
          <w:b/>
          <w:bCs/>
          <w:color w:val="2E5395"/>
          <w:sz w:val="25"/>
          <w:szCs w:val="25"/>
        </w:rPr>
        <w:t xml:space="preserve">11.3 Le catalogue ne doit exposer que les modules « métier »</w:t>
      </w:r>
    </w:p>
    <w:p>
      <w:pPr>
        <w:spacing w:after="160" w:line="288"/>
      </w:pPr>
      <w:r>
        <w:rPr>
          <w:sz w:val="22"/>
          <w:szCs w:val="22"/>
        </w:rPr>
        <w:t xml:space="preserve">Conséquence directe de la résolution automatique des dépendances : Product et Contact n'ont plus besoin d'apparaître dans la liste des modules proposée à l'admin lors de l'installation. Ce ne sont pas des choix — ce sont des conséquences d'un choix. Le catalogue affiché doit donc se limiter aux modules « métier » (cercle 3, et cercle 2 quand il a un sens commercial autonome) ; les modules noyau/semi-transversaux purement techniques comme Product ou Contact restent invisibles et suivent l'état des modules qui en dépendent.</w:t>
      </w:r>
    </w:p>
    <w:p>
      <w:pPr>
        <w:spacing w:after="120" w:before="120"/>
        <w:jc w:val="center"/>
      </w:pPr>
      <w:r>
        <w:drawing>
          <wp:inline distT="0" distB="0" distL="0" distR="0">
            <wp:extent cx="5120640" cy="410897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120640" cy="4108972"/>
                    </a:xfrm>
                    <a:prstGeom prst="rect">
                      <a:avLst/>
                    </a:prstGeom>
                  </pic:spPr>
                </pic:pic>
              </a:graphicData>
            </a:graphic>
          </wp:inline>
        </w:drawing>
      </w:r>
    </w:p>
    <w:p>
      <w:pPr>
        <w:pStyle w:val="Heading2"/>
        <w:spacing w:after="160" w:before="320"/>
      </w:pPr>
      <w:r>
        <w:rPr>
          <w:b/>
          <w:bCs/>
          <w:color w:val="2E5395"/>
          <w:sz w:val="25"/>
          <w:szCs w:val="25"/>
        </w:rPr>
        <w:t xml:space="preserve">11.4 Dépendances partagées entre plusieurs modules</w:t>
      </w:r>
    </w:p>
    <w:p>
      <w:pPr>
        <w:spacing w:after="160" w:line="288"/>
      </w:pPr>
      <w:r>
        <w:rPr>
          <w:sz w:val="22"/>
          <w:szCs w:val="22"/>
        </w:rPr>
        <w:t xml:space="preserve">Le cas se complique dès qu'un même module transversal est requis par plusieurs modules métier à la fois — c'est le cas de Contact, utilisé aussi bien par Shop que par Invoice. Une simple résolution « installer si absent » ne suffit plus : il faut savoir combien de modules actifs dépendent encore de Contact avant de pouvoir le désinstaller sans rien casser. La solution consiste à associer à chaque dépendance un compteur d'usage plutôt qu'un simple statut binaire installé/non installé.</w:t>
      </w:r>
    </w:p>
    <w:p>
      <w:pPr>
        <w:pStyle w:val="Heading3"/>
        <w:spacing w:after="140" w:before="240"/>
      </w:pPr>
      <w:r>
        <w:rPr>
          <w:b/>
          <w:bCs/>
          <w:color w:val="2E5395"/>
          <w:sz w:val="22"/>
          <w:szCs w:val="22"/>
        </w:rPr>
        <w:t xml:space="preserve">Installation : le compteur évite les doublons</w:t>
      </w:r>
    </w:p>
    <w:p>
      <w:pPr>
        <w:spacing w:after="120" w:before="120"/>
        <w:jc w:val="center"/>
      </w:pPr>
      <w:r>
        <w:drawing>
          <wp:inline distT="0" distB="0" distL="0" distR="0">
            <wp:extent cx="4114800" cy="421400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4114800" cy="4214006"/>
                    </a:xfrm>
                    <a:prstGeom prst="rect">
                      <a:avLst/>
                    </a:prstGeom>
                  </pic:spPr>
                </pic:pic>
              </a:graphicData>
            </a:graphic>
          </wp:inline>
        </w:drawing>
      </w:r>
    </w:p>
    <w:p>
      <w:pPr>
        <w:pStyle w:val="Heading3"/>
        <w:spacing w:after="140" w:before="240"/>
      </w:pPr>
      <w:r>
        <w:rPr>
          <w:b/>
          <w:bCs/>
          <w:color w:val="2E5395"/>
          <w:sz w:val="22"/>
          <w:szCs w:val="22"/>
        </w:rPr>
        <w:t xml:space="preserve">Désinstallation : le compteur protège les dépendances encore utilisées</w:t>
      </w:r>
    </w:p>
    <w:p>
      <w:pPr>
        <w:spacing w:after="120" w:before="120"/>
        <w:jc w:val="center"/>
      </w:pPr>
      <w:r>
        <w:drawing>
          <wp:inline distT="0" distB="0" distL="0" distR="0">
            <wp:extent cx="4114800" cy="421400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4114800" cy="4214006"/>
                    </a:xfrm>
                    <a:prstGeom prst="rect">
                      <a:avLst/>
                    </a:prstGeom>
                  </pic:spPr>
                </pic:pic>
              </a:graphicData>
            </a:graphic>
          </wp:inline>
        </w:drawing>
      </w:r>
    </w:p>
    <w:p>
      <w:pPr>
        <w:pStyle w:val="Heading2"/>
        <w:spacing w:after="160" w:before="320"/>
      </w:pPr>
      <w:r>
        <w:rPr>
          <w:b/>
          <w:bCs/>
          <w:color w:val="2E5395"/>
          <w:sz w:val="25"/>
          <w:szCs w:val="25"/>
        </w:rPr>
        <w:t xml:space="preserve">11.5 Autres exemples concrets dans le projet</w:t>
      </w:r>
    </w:p>
    <w:p>
      <w:pPr>
        <w:spacing w:after="160" w:line="288"/>
      </w:pPr>
      <w:r>
        <w:rPr>
          <w:sz w:val="22"/>
          <w:szCs w:val="22"/>
        </w:rPr>
        <w:t xml:space="preserve">Le cas Shop → Product n'est pas isolé. La même règle s'applique à plusieurs modules identifiés dans l'analyse (section 7) :</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5200"/>
      </w:tblGrid>
      <w:tr>
        <w:trPr>
          <w:tblHeader/>
        </w:trPr>
        <w:tc>
          <w:tcPr>
            <w:tcW w:type="dxa" w:w="2200"/>
            <w:shd w:fill="1F3864" w:color="auto" w:val="clear"/>
            <w:tcMar>
              <w:top w:type="dxa" w:w="80"/>
              <w:left w:type="dxa" w:w="100"/>
              <w:bottom w:type="dxa" w:w="80"/>
              <w:right w:type="dxa" w:w="100"/>
            </w:tcMar>
          </w:tcPr>
          <w:p>
            <w:pPr>
              <w:jc w:val="center"/>
            </w:pPr>
            <w:r>
              <w:rPr>
                <w:b/>
                <w:bCs/>
                <w:color w:val="FFFFFF"/>
                <w:sz w:val="20"/>
                <w:szCs w:val="20"/>
              </w:rPr>
              <w:t xml:space="preserve">Module installé</w:t>
            </w:r>
          </w:p>
        </w:tc>
        <w:tc>
          <w:tcPr>
            <w:tcW w:type="dxa" w:w="2200"/>
            <w:shd w:fill="1F3864" w:color="auto" w:val="clear"/>
            <w:tcMar>
              <w:top w:type="dxa" w:w="80"/>
              <w:left w:type="dxa" w:w="100"/>
              <w:bottom w:type="dxa" w:w="80"/>
              <w:right w:type="dxa" w:w="100"/>
            </w:tcMar>
          </w:tcPr>
          <w:p>
            <w:pPr>
              <w:jc w:val="center"/>
            </w:pPr>
            <w:r>
              <w:rPr>
                <w:b/>
                <w:bCs/>
                <w:color w:val="FFFFFF"/>
                <w:sz w:val="20"/>
                <w:szCs w:val="20"/>
              </w:rPr>
              <w:t xml:space="preserve">Devrait auto-installer</w:t>
            </w:r>
          </w:p>
        </w:tc>
        <w:tc>
          <w:tcPr>
            <w:tcW w:type="dxa" w:w="5200"/>
            <w:shd w:fill="1F3864" w:color="auto" w:val="clear"/>
            <w:tcMar>
              <w:top w:type="dxa" w:w="80"/>
              <w:left w:type="dxa" w:w="100"/>
              <w:bottom w:type="dxa" w:w="80"/>
              <w:right w:type="dxa" w:w="100"/>
            </w:tcMar>
          </w:tcPr>
          <w:p>
            <w:pPr>
              <w:jc w:val="center"/>
            </w:pPr>
            <w:r>
              <w:rPr>
                <w:b/>
                <w:bCs/>
                <w:color w:val="FFFFFF"/>
                <w:sz w:val="20"/>
                <w:szCs w:val="20"/>
              </w:rPr>
              <w:t xml:space="preserve">Pourquoi (constaté dans le code)</w:t>
            </w:r>
          </w:p>
        </w:tc>
      </w:tr>
      <w:tr>
        <w:tc>
          <w:tcPr>
            <w:tcW w:type="dxa" w:w="2200"/>
            <w:shd w:fill="FFFFFF" w:color="auto" w:val="clear"/>
            <w:tcMar>
              <w:top w:type="dxa" w:w="80"/>
              <w:left w:type="dxa" w:w="100"/>
              <w:bottom w:type="dxa" w:w="80"/>
              <w:right w:type="dxa" w:w="100"/>
            </w:tcMar>
          </w:tcPr>
          <w:p>
            <w:pPr>
              <w:jc w:val="left"/>
            </w:pPr>
            <w:r>
              <w:rPr>
                <w:b w:val="false"/>
                <w:bCs w:val="false"/>
                <w:color w:val="000000"/>
                <w:sz w:val="20"/>
                <w:szCs w:val="20"/>
              </w:rPr>
              <w:t xml:space="preserve">Shop</w:t>
            </w:r>
          </w:p>
        </w:tc>
        <w:tc>
          <w:tcPr>
            <w:tcW w:type="dxa" w:w="2200"/>
            <w:shd w:fill="FFFFFF" w:color="auto" w:val="clear"/>
            <w:tcMar>
              <w:top w:type="dxa" w:w="80"/>
              <w:left w:type="dxa" w:w="100"/>
              <w:bottom w:type="dxa" w:w="80"/>
              <w:right w:type="dxa" w:w="100"/>
            </w:tcMar>
          </w:tcPr>
          <w:p>
            <w:pPr>
              <w:jc w:val="center"/>
            </w:pPr>
            <w:r>
              <w:rPr>
                <w:b w:val="false"/>
                <w:bCs w:val="false"/>
                <w:color w:val="000000"/>
                <w:sz w:val="20"/>
                <w:szCs w:val="20"/>
              </w:rPr>
              <w:t xml:space="preserve">Product, Contact</w:t>
            </w:r>
          </w:p>
        </w:tc>
        <w:tc>
          <w:tcPr>
            <w:tcW w:type="dxa" w:w="5200"/>
            <w:shd w:fill="FFFFFF" w:color="auto" w:val="clear"/>
            <w:tcMar>
              <w:top w:type="dxa" w:w="80"/>
              <w:left w:type="dxa" w:w="100"/>
              <w:bottom w:type="dxa" w:w="80"/>
              <w:right w:type="dxa" w:w="100"/>
            </w:tcMar>
          </w:tcPr>
          <w:p>
            <w:pPr>
              <w:jc w:val="center"/>
            </w:pPr>
            <w:r>
              <w:rPr>
                <w:b w:val="false"/>
                <w:bCs w:val="false"/>
                <w:color w:val="000000"/>
                <w:sz w:val="20"/>
                <w:szCs w:val="20"/>
              </w:rPr>
              <w:t xml:space="preserve">ShopProduct référence directement des enregistrements Product ; le checkout référence un Contact.</w:t>
            </w:r>
          </w:p>
        </w:tc>
      </w:tr>
      <w:tr>
        <w:tc>
          <w:tcPr>
            <w:tcW w:type="dxa" w:w="2200"/>
            <w:shd w:fill="F2F2F2" w:color="auto" w:val="clear"/>
            <w:tcMar>
              <w:top w:type="dxa" w:w="80"/>
              <w:left w:type="dxa" w:w="100"/>
              <w:bottom w:type="dxa" w:w="80"/>
              <w:right w:type="dxa" w:w="100"/>
            </w:tcMar>
          </w:tcPr>
          <w:p>
            <w:pPr>
              <w:jc w:val="left"/>
            </w:pPr>
            <w:r>
              <w:rPr>
                <w:b w:val="false"/>
                <w:bCs w:val="false"/>
                <w:color w:val="000000"/>
                <w:sz w:val="20"/>
                <w:szCs w:val="20"/>
              </w:rPr>
              <w:t xml:space="preserve">Invoice (facturation)</w:t>
            </w:r>
          </w:p>
        </w:tc>
        <w:tc>
          <w:tcPr>
            <w:tcW w:type="dxa" w:w="2200"/>
            <w:shd w:fill="F2F2F2" w:color="auto" w:val="clear"/>
            <w:tcMar>
              <w:top w:type="dxa" w:w="80"/>
              <w:left w:type="dxa" w:w="100"/>
              <w:bottom w:type="dxa" w:w="80"/>
              <w:right w:type="dxa" w:w="100"/>
            </w:tcMar>
          </w:tcPr>
          <w:p>
            <w:pPr>
              <w:jc w:val="center"/>
            </w:pPr>
            <w:r>
              <w:rPr>
                <w:b w:val="false"/>
                <w:bCs w:val="false"/>
                <w:color w:val="000000"/>
                <w:sz w:val="20"/>
                <w:szCs w:val="20"/>
              </w:rPr>
              <w:t xml:space="preserve">Product, Contact</w:t>
            </w:r>
          </w:p>
        </w:tc>
        <w:tc>
          <w:tcPr>
            <w:tcW w:type="dxa" w:w="5200"/>
            <w:shd w:fill="F2F2F2" w:color="auto" w:val="clear"/>
            <w:tcMar>
              <w:top w:type="dxa" w:w="80"/>
              <w:left w:type="dxa" w:w="100"/>
              <w:bottom w:type="dxa" w:w="80"/>
              <w:right w:type="dxa" w:w="100"/>
            </w:tcMar>
          </w:tcPr>
          <w:p>
            <w:pPr>
              <w:jc w:val="center"/>
            </w:pPr>
            <w:r>
              <w:rPr>
                <w:b w:val="false"/>
                <w:bCs w:val="false"/>
                <w:color w:val="000000"/>
                <w:sz w:val="20"/>
                <w:szCs w:val="20"/>
              </w:rPr>
              <w:t xml:space="preserve">InvoiceProductSaleElement référence le catalogue produit ; toute facture porte un contact.</w:t>
            </w:r>
          </w:p>
        </w:tc>
      </w:tr>
      <w:tr>
        <w:tc>
          <w:tcPr>
            <w:tcW w:type="dxa" w:w="2200"/>
            <w:shd w:fill="FFFFFF" w:color="auto" w:val="clear"/>
            <w:tcMar>
              <w:top w:type="dxa" w:w="80"/>
              <w:left w:type="dxa" w:w="100"/>
              <w:bottom w:type="dxa" w:w="80"/>
              <w:right w:type="dxa" w:w="100"/>
            </w:tcMar>
          </w:tcPr>
          <w:p>
            <w:pPr>
              <w:jc w:val="left"/>
            </w:pPr>
            <w:r>
              <w:rPr>
                <w:b w:val="false"/>
                <w:bCs w:val="false"/>
                <w:color w:val="000000"/>
                <w:sz w:val="20"/>
                <w:szCs w:val="20"/>
              </w:rPr>
              <w:t xml:space="preserve">Estimate (devis)</w:t>
            </w:r>
          </w:p>
        </w:tc>
        <w:tc>
          <w:tcPr>
            <w:tcW w:type="dxa" w:w="2200"/>
            <w:shd w:fill="FFFFFF" w:color="auto" w:val="clear"/>
            <w:tcMar>
              <w:top w:type="dxa" w:w="80"/>
              <w:left w:type="dxa" w:w="100"/>
              <w:bottom w:type="dxa" w:w="80"/>
              <w:right w:type="dxa" w:w="100"/>
            </w:tcMar>
          </w:tcPr>
          <w:p>
            <w:pPr>
              <w:jc w:val="center"/>
            </w:pPr>
            <w:r>
              <w:rPr>
                <w:b w:val="false"/>
                <w:bCs w:val="false"/>
                <w:color w:val="000000"/>
                <w:sz w:val="20"/>
                <w:szCs w:val="20"/>
              </w:rPr>
              <w:t xml:space="preserve">Product, Contact, Invoice</w:t>
            </w:r>
          </w:p>
        </w:tc>
        <w:tc>
          <w:tcPr>
            <w:tcW w:type="dxa" w:w="5200"/>
            <w:shd w:fill="FFFFFF" w:color="auto" w:val="clear"/>
            <w:tcMar>
              <w:top w:type="dxa" w:w="80"/>
              <w:left w:type="dxa" w:w="100"/>
              <w:bottom w:type="dxa" w:w="80"/>
              <w:right w:type="dxa" w:w="100"/>
            </w:tcMar>
          </w:tcPr>
          <w:p>
            <w:pPr>
              <w:jc w:val="center"/>
            </w:pPr>
            <w:r>
              <w:rPr>
                <w:b w:val="false"/>
                <w:bCs w:val="false"/>
                <w:color w:val="000000"/>
                <w:sz w:val="20"/>
                <w:szCs w:val="20"/>
              </w:rPr>
              <w:t xml:space="preserve">Un devis se transforme en facture et référence les mêmes lignes produit.</w:t>
            </w:r>
          </w:p>
        </w:tc>
      </w:tr>
      <w:tr>
        <w:tc>
          <w:tcPr>
            <w:tcW w:type="dxa" w:w="2200"/>
            <w:shd w:fill="F2F2F2" w:color="auto" w:val="clear"/>
            <w:tcMar>
              <w:top w:type="dxa" w:w="80"/>
              <w:left w:type="dxa" w:w="100"/>
              <w:bottom w:type="dxa" w:w="80"/>
              <w:right w:type="dxa" w:w="100"/>
            </w:tcMar>
          </w:tcPr>
          <w:p>
            <w:pPr>
              <w:jc w:val="left"/>
            </w:pPr>
            <w:r>
              <w:rPr>
                <w:b w:val="false"/>
                <w:bCs w:val="false"/>
                <w:color w:val="000000"/>
                <w:sz w:val="20"/>
                <w:szCs w:val="20"/>
              </w:rPr>
              <w:t xml:space="preserve">Payslip (fiche de paie)</w:t>
            </w:r>
          </w:p>
        </w:tc>
        <w:tc>
          <w:tcPr>
            <w:tcW w:type="dxa" w:w="2200"/>
            <w:shd w:fill="F2F2F2" w:color="auto" w:val="clear"/>
            <w:tcMar>
              <w:top w:type="dxa" w:w="80"/>
              <w:left w:type="dxa" w:w="100"/>
              <w:bottom w:type="dxa" w:w="80"/>
              <w:right w:type="dxa" w:w="100"/>
            </w:tcMar>
          </w:tcPr>
          <w:p>
            <w:pPr>
              <w:jc w:val="center"/>
            </w:pPr>
            <w:r>
              <w:rPr>
                <w:b w:val="false"/>
                <w:bCs w:val="false"/>
                <w:color w:val="000000"/>
                <w:sz w:val="20"/>
                <w:szCs w:val="20"/>
              </w:rPr>
              <w:t xml:space="preserve">Personal (RH_COLLABORATOR)</w:t>
            </w:r>
          </w:p>
        </w:tc>
        <w:tc>
          <w:tcPr>
            <w:tcW w:type="dxa" w:w="5200"/>
            <w:shd w:fill="F2F2F2" w:color="auto" w:val="clear"/>
            <w:tcMar>
              <w:top w:type="dxa" w:w="80"/>
              <w:left w:type="dxa" w:w="100"/>
              <w:bottom w:type="dxa" w:w="80"/>
              <w:right w:type="dxa" w:w="100"/>
            </w:tcMar>
          </w:tcPr>
          <w:p>
            <w:pPr>
              <w:jc w:val="center"/>
            </w:pPr>
            <w:r>
              <w:rPr>
                <w:b w:val="false"/>
                <w:bCs w:val="false"/>
                <w:color w:val="000000"/>
                <w:sz w:val="20"/>
                <w:szCs w:val="20"/>
              </w:rPr>
              <w:t xml:space="preserve">Une fiche de paie est toujours rattachée à un dossier collaborateur existant.</w:t>
            </w:r>
          </w:p>
        </w:tc>
      </w:tr>
      <w:tr>
        <w:tc>
          <w:tcPr>
            <w:tcW w:type="dxa" w:w="2200"/>
            <w:shd w:fill="FFFFFF" w:color="auto" w:val="clear"/>
            <w:tcMar>
              <w:top w:type="dxa" w:w="80"/>
              <w:left w:type="dxa" w:w="100"/>
              <w:bottom w:type="dxa" w:w="80"/>
              <w:right w:type="dxa" w:w="100"/>
            </w:tcMar>
          </w:tcPr>
          <w:p>
            <w:pPr>
              <w:jc w:val="left"/>
            </w:pPr>
            <w:r>
              <w:rPr>
                <w:b w:val="false"/>
                <w:bCs w:val="false"/>
                <w:color w:val="000000"/>
                <w:sz w:val="20"/>
                <w:szCs w:val="20"/>
              </w:rPr>
              <w:t xml:space="preserve">SalaryAdvance (avance sur salaire)</w:t>
            </w:r>
          </w:p>
        </w:tc>
        <w:tc>
          <w:tcPr>
            <w:tcW w:type="dxa" w:w="2200"/>
            <w:shd w:fill="FFFFFF" w:color="auto" w:val="clear"/>
            <w:tcMar>
              <w:top w:type="dxa" w:w="80"/>
              <w:left w:type="dxa" w:w="100"/>
              <w:bottom w:type="dxa" w:w="80"/>
              <w:right w:type="dxa" w:w="100"/>
            </w:tcMar>
          </w:tcPr>
          <w:p>
            <w:pPr>
              <w:jc w:val="center"/>
            </w:pPr>
            <w:r>
              <w:rPr>
                <w:b w:val="false"/>
                <w:bCs w:val="false"/>
                <w:color w:val="000000"/>
                <w:sz w:val="20"/>
                <w:szCs w:val="20"/>
              </w:rPr>
              <w:t xml:space="preserve">Payslip</w:t>
            </w:r>
          </w:p>
        </w:tc>
        <w:tc>
          <w:tcPr>
            <w:tcW w:type="dxa" w:w="5200"/>
            <w:shd w:fill="FFFFFF" w:color="auto" w:val="clear"/>
            <w:tcMar>
              <w:top w:type="dxa" w:w="80"/>
              <w:left w:type="dxa" w:w="100"/>
              <w:bottom w:type="dxa" w:w="80"/>
              <w:right w:type="dxa" w:w="100"/>
            </w:tcMar>
          </w:tcPr>
          <w:p>
            <w:pPr>
              <w:jc w:val="center"/>
            </w:pPr>
            <w:r>
              <w:rPr>
                <w:b w:val="false"/>
                <w:bCs w:val="false"/>
                <w:color w:val="000000"/>
                <w:sz w:val="20"/>
                <w:szCs w:val="20"/>
              </w:rPr>
              <w:t xml:space="preserve">Le module recalcule l'avance directement dans les données de paie (PayslipSalaryAdvance).</w:t>
            </w:r>
          </w:p>
        </w:tc>
      </w:tr>
      <w:tr>
        <w:tc>
          <w:tcPr>
            <w:tcW w:type="dxa" w:w="2200"/>
            <w:shd w:fill="F2F2F2" w:color="auto" w:val="clear"/>
            <w:tcMar>
              <w:top w:type="dxa" w:w="80"/>
              <w:left w:type="dxa" w:w="100"/>
              <w:bottom w:type="dxa" w:w="80"/>
              <w:right w:type="dxa" w:w="100"/>
            </w:tcMar>
          </w:tcPr>
          <w:p>
            <w:pPr>
              <w:jc w:val="left"/>
            </w:pPr>
            <w:r>
              <w:rPr>
                <w:b w:val="false"/>
                <w:bCs w:val="false"/>
                <w:color w:val="000000"/>
                <w:sz w:val="20"/>
                <w:szCs w:val="20"/>
              </w:rPr>
              <w:t xml:space="preserve">Pipeline (opportunités)</w:t>
            </w:r>
          </w:p>
        </w:tc>
        <w:tc>
          <w:tcPr>
            <w:tcW w:type="dxa" w:w="2200"/>
            <w:shd w:fill="F2F2F2" w:color="auto" w:val="clear"/>
            <w:tcMar>
              <w:top w:type="dxa" w:w="80"/>
              <w:left w:type="dxa" w:w="100"/>
              <w:bottom w:type="dxa" w:w="80"/>
              <w:right w:type="dxa" w:w="100"/>
            </w:tcMar>
          </w:tcPr>
          <w:p>
            <w:pPr>
              <w:jc w:val="center"/>
            </w:pPr>
            <w:r>
              <w:rPr>
                <w:b w:val="false"/>
                <w:bCs w:val="false"/>
                <w:color w:val="000000"/>
                <w:sz w:val="20"/>
                <w:szCs w:val="20"/>
              </w:rPr>
              <w:t xml:space="preserve">Contact</w:t>
            </w:r>
          </w:p>
        </w:tc>
        <w:tc>
          <w:tcPr>
            <w:tcW w:type="dxa" w:w="5200"/>
            <w:shd w:fill="F2F2F2" w:color="auto" w:val="clear"/>
            <w:tcMar>
              <w:top w:type="dxa" w:w="80"/>
              <w:left w:type="dxa" w:w="100"/>
              <w:bottom w:type="dxa" w:w="80"/>
              <w:right w:type="dxa" w:w="100"/>
            </w:tcMar>
          </w:tcPr>
          <w:p>
            <w:pPr>
              <w:jc w:val="center"/>
            </w:pPr>
            <w:r>
              <w:rPr>
                <w:b w:val="false"/>
                <w:bCs w:val="false"/>
                <w:color w:val="000000"/>
                <w:sz w:val="20"/>
                <w:szCs w:val="20"/>
              </w:rPr>
              <w:t xml:space="preserve">Une opportunité commerciale porte toujours un contact.</w:t>
            </w:r>
          </w:p>
        </w:tc>
      </w:tr>
      <w:tr>
        <w:tc>
          <w:tcPr>
            <w:tcW w:type="dxa" w:w="2200"/>
            <w:shd w:fill="FFFFFF" w:color="auto" w:val="clear"/>
            <w:tcMar>
              <w:top w:type="dxa" w:w="80"/>
              <w:left w:type="dxa" w:w="100"/>
              <w:bottom w:type="dxa" w:w="80"/>
              <w:right w:type="dxa" w:w="100"/>
            </w:tcMar>
          </w:tcPr>
          <w:p>
            <w:pPr>
              <w:jc w:val="left"/>
            </w:pPr>
            <w:r>
              <w:rPr>
                <w:b w:val="false"/>
                <w:bCs w:val="false"/>
                <w:color w:val="000000"/>
                <w:sz w:val="20"/>
                <w:szCs w:val="20"/>
              </w:rPr>
              <w:t xml:space="preserve">ProjectBudget / ProjectReporting</w:t>
            </w:r>
          </w:p>
        </w:tc>
        <w:tc>
          <w:tcPr>
            <w:tcW w:type="dxa" w:w="2200"/>
            <w:shd w:fill="FFFFFF" w:color="auto" w:val="clear"/>
            <w:tcMar>
              <w:top w:type="dxa" w:w="80"/>
              <w:left w:type="dxa" w:w="100"/>
              <w:bottom w:type="dxa" w:w="80"/>
              <w:right w:type="dxa" w:w="100"/>
            </w:tcMar>
          </w:tcPr>
          <w:p>
            <w:pPr>
              <w:jc w:val="center"/>
            </w:pPr>
            <w:r>
              <w:rPr>
                <w:b w:val="false"/>
                <w:bCs w:val="false"/>
                <w:color w:val="000000"/>
                <w:sz w:val="20"/>
                <w:szCs w:val="20"/>
              </w:rPr>
              <w:t xml:space="preserve">Project</w:t>
            </w:r>
          </w:p>
        </w:tc>
        <w:tc>
          <w:tcPr>
            <w:tcW w:type="dxa" w:w="5200"/>
            <w:shd w:fill="FFFFFF" w:color="auto" w:val="clear"/>
            <w:tcMar>
              <w:top w:type="dxa" w:w="80"/>
              <w:left w:type="dxa" w:w="100"/>
              <w:bottom w:type="dxa" w:w="80"/>
              <w:right w:type="dxa" w:w="100"/>
            </w:tcMar>
          </w:tcPr>
          <w:p>
            <w:pPr>
              <w:jc w:val="center"/>
            </w:pPr>
            <w:r>
              <w:rPr>
                <w:b w:val="false"/>
                <w:bCs w:val="false"/>
                <w:color w:val="000000"/>
                <w:sz w:val="20"/>
                <w:szCs w:val="20"/>
              </w:rPr>
              <w:t xml:space="preserve">Ces deux modules étendent un projet existant, ils n'ont pas de sens seuls.</w:t>
            </w:r>
          </w:p>
        </w:tc>
      </w:tr>
    </w:tbl>
    <w:p>
      <w:pPr>
        <w:spacing w:after="160" w:line="288"/>
      </w:pPr>
      <w:r>
        <w:rPr>
          <w:i/>
          <w:iCs/>
          <w:sz w:val="22"/>
          <w:szCs w:val="22"/>
        </w:rPr>
        <w:t xml:space="preserve">À l'inverse, désinstaller Product alors que Shop ou Invoice sont encore actifs pour ce tenant devrait être refusé (ou, a minima, demander confirmation explicite en listant les modules impactés), pour éviter de casser silencieusement une fonctionnalité déjà utilisée par le client.</w:t>
      </w:r>
    </w:p>
    <w:p>
      <w:r>
        <w:br w:type="page"/>
      </w:r>
    </w:p>
    <w:p>
      <w:pPr>
        <w:pStyle w:val="Heading1"/>
        <w:pBdr>
          <w:bottom w:val="single" w:color="1F3864" w:sz="6" w:space="4"/>
        </w:pBdr>
        <w:spacing w:after="200" w:before="400"/>
      </w:pPr>
      <w:r>
        <w:rPr>
          <w:b/>
          <w:bCs/>
          <w:color w:val="1F3864"/>
          <w:sz w:val="30"/>
          <w:szCs w:val="30"/>
        </w:rPr>
        <w:t xml:space="preserve">12. Conclusion</w:t>
      </w:r>
    </w:p>
    <w:p>
      <w:pPr>
        <w:spacing w:after="160" w:line="288"/>
      </w:pPr>
      <w:r>
        <w:rPr>
          <w:sz w:val="22"/>
          <w:szCs w:val="22"/>
        </w:rPr>
        <w:t xml:space="preserve">La question posée — « qu'est-ce qui peut devenir un module, qu'est-ce qui ne peut pas » — n'a pas de réponse binaire mais une réponse graduée, confirmée par les chiffres :</w:t>
      </w:r>
    </w:p>
    <w:p>
      <w:pPr>
        <w:pStyle w:val="ListParagraph"/>
        <w:numPr>
          <w:ilvl w:val="0"/>
          <w:numId w:val="2"/>
        </w:numPr>
        <w:spacing w:after="90" w:line="276"/>
      </w:pPr>
      <w:r>
        <w:rPr>
          <w:sz w:val="22"/>
          <w:szCs w:val="22"/>
        </w:rPr>
        <w:t xml:space="preserve">5 briques (Central, User, Society, Setting, Contact) forment un socle non négociable : elles restent chargées pour tous les tenants.</w:t>
      </w:r>
    </w:p>
    <w:p>
      <w:pPr>
        <w:pStyle w:val="ListParagraph"/>
        <w:numPr>
          <w:ilvl w:val="0"/>
          <w:numId w:val="2"/>
        </w:numPr>
        <w:spacing w:after="90" w:line="276"/>
      </w:pPr>
      <w:r>
        <w:rPr>
          <w:sz w:val="22"/>
          <w:szCs w:val="22"/>
        </w:rPr>
        <w:t xml:space="preserve">18 modules sont des services partagés : modulables commercialement, mais leur retrait technique doit être anticipé (dépendances multiples).</w:t>
      </w:r>
    </w:p>
    <w:p>
      <w:pPr>
        <w:pStyle w:val="ListParagraph"/>
        <w:numPr>
          <w:ilvl w:val="0"/>
          <w:numId w:val="2"/>
        </w:numPr>
        <w:spacing w:after="90" w:line="276"/>
      </w:pPr>
      <w:r>
        <w:rPr>
          <w:sz w:val="22"/>
          <w:szCs w:val="22"/>
        </w:rPr>
        <w:t xml:space="preserve">~40 modules sont déjà, par construction du code (faible couplage + présence dans SuitModulesEnum), de bons candidats à une vraie modularisation à la carte.</w:t>
      </w:r>
    </w:p>
    <w:p>
      <w:pPr>
        <w:spacing w:after="160" w:line="288"/>
      </w:pPr>
      <w:r>
        <w:rPr>
          <w:sz w:val="22"/>
          <w:szCs w:val="22"/>
        </w:rPr>
        <w:t xml:space="preserve">Point notable : cette classification technique recoupe très largement la classification commerciale déjà esquissée dans le code (SuitModulesEnum/SuitAppsEnum). Le travail de modularisation n'est donc pas à inventer entièrement — il consiste surtout à faire correspondre l'architecture technique (chargement conditionnel, packages séparés) à un découpage fonctionnel déjà pensé par l'équipe.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Page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95959"/>
        <w:sz w:val="16"/>
        <w:szCs w:val="16"/>
      </w:rPr>
      <w:t xml:space="preserve">Analyse de modularisation — Architecture multi-tenant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2dd5f62df9f1e9646ea872819ad1c9a1295e02.png"/><Relationship Id="rId10" Type="http://schemas.openxmlformats.org/officeDocument/2006/relationships/image" Target="media/5337f66b06b60e45ef78bf3e04d4cf61c437e2f4.png"/><Relationship Id="rId11" Type="http://schemas.openxmlformats.org/officeDocument/2006/relationships/fontTable" Target="fontTable.xml"/><Relationship Id="rId50" Type="http://schemas.openxmlformats.org/officeDocument/2006/relationships/image" Target="media/diagram_catalogue.png"/><Relationship Id="rId51" Type="http://schemas.openxmlformats.org/officeDocument/2006/relationships/image" Target="media/diagram_install_partage.png"/><Relationship Id="rId52" Type="http://schemas.openxmlformats.org/officeDocument/2006/relationships/image" Target="media/diagram_desinstall_partage.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2026-08-19T10:22:31.823Z</dcterms:created>
  <dcterms:modified xsi:type="dcterms:W3CDTF">2026-08-19T10:22:31.823Z</dcterms:modified>
</cp:coreProperties>
</file>

<file path=docProps/custom.xml><?xml version="1.0" encoding="utf-8"?>
<Properties xmlns="http://schemas.openxmlformats.org/officeDocument/2006/custom-properties" xmlns:vt="http://schemas.openxmlformats.org/officeDocument/2006/docPropsVTypes"/>
</file>