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360" w:after="80"/>
        <w:rPr>
          <w:b/>
          <w:bCs/>
        </w:rPr>
      </w:pPr>
      <w:bookmarkStart w:id="0" w:name="_Toc211595161"/>
      <w:r>
        <w:rPr>
          <w:b/>
          <w:bCs/>
        </w:rPr>
        <w:t>C</w:t>
      </w:r>
      <w:bookmarkEnd w:id="0"/>
      <w:r>
        <w:rPr>
          <w:b/>
          <w:bCs/>
        </w:rPr>
        <w:t>HARTE INFORMATIQUE</w:t>
      </w:r>
    </w:p>
    <w:p>
      <w:pPr>
        <w:sectPr>
          <w:type w:val="nextPage"/>
          <w:pgSz w:w="11906" w:h="16838"/>
          <w:pgMar w:left="1417" w:right="1417" w:gutter="0" w:header="0" w:top="1417" w:footer="0" w:bottom="1417"/>
          <w:pgNumType w:fmt="decimal"/>
          <w:formProt w:val="false"/>
          <w:textDirection w:val="lrTb"/>
          <w:docGrid w:type="default" w:linePitch="360" w:charSpace="4096"/>
        </w:sectPr>
        <w:pStyle w:val="Normal"/>
        <w:rPr/>
      </w:pPr>
      <w:r>
        <w:rPr>
          <w:b/>
          <w:bCs/>
        </w:rPr>
        <w:br/>
        <w:t>Version</w:t>
      </w:r>
      <w:r>
        <w:rPr/>
        <w:t xml:space="preserve"> : 1.0</w:t>
      </w:r>
      <w:r>
        <w:rPr>
          <w:b/>
          <w:bCs/>
        </w:rPr>
        <w:br/>
        <w:t>Date</w:t>
      </w:r>
      <w:r>
        <w:rPr/>
        <w:t xml:space="preserve"> : Novembre 2025</w:t>
      </w:r>
      <w:r>
        <w:rPr>
          <w:b/>
          <w:bCs/>
        </w:rPr>
        <w:br/>
        <w:t>Statut</w:t>
      </w:r>
      <w:r>
        <w:rPr/>
        <w:t xml:space="preserve"> : En vigueur</w:t>
      </w:r>
      <w:r>
        <w:rPr>
          <w:b/>
          <w:bCs/>
        </w:rPr>
        <w:br/>
        <w:t>Propriétaire</w:t>
      </w:r>
      <w:r>
        <w:rPr/>
        <w:t xml:space="preserve"> : Responsable des Services Internes</w:t>
      </w:r>
      <w:r>
        <w:rPr>
          <w:b/>
          <w:bCs/>
        </w:rPr>
        <w:br/>
        <w:t>Approbateur</w:t>
      </w:r>
      <w:r>
        <w:rPr/>
        <w:t xml:space="preserve"> : Direction Générale</w:t>
      </w:r>
      <w:r>
        <w:rPr>
          <w:b/>
          <w:bCs/>
        </w:rPr>
        <w:br/>
        <w:t>Diffusion</w:t>
      </w:r>
      <w:r>
        <w:rPr/>
        <w:t xml:space="preserve"> : Tous collaborateurs</w:t>
      </w:r>
      <w:r>
        <w:br w:type="page"/>
      </w:r>
    </w:p>
    <w:p>
      <w:pPr>
        <w:pStyle w:val="Heading1"/>
        <w:spacing w:before="0" w:after="80"/>
        <w:rPr>
          <w:b/>
          <w:bCs/>
        </w:rPr>
      </w:pPr>
      <w:bookmarkStart w:id="1" w:name="_Toc211595163"/>
      <w:r>
        <w:rPr>
          <w:b/>
          <w:bCs/>
        </w:rPr>
        <w:t xml:space="preserve">1. </w:t>
      </w:r>
      <w:bookmarkEnd w:id="1"/>
      <w:r>
        <w:rPr>
          <w:b/>
          <w:bCs/>
        </w:rPr>
        <w:t>Préambule</w:t>
      </w:r>
      <w:bookmarkStart w:id="2" w:name="_Toc211595164"/>
      <w:bookmarkEnd w:id="2"/>
    </w:p>
    <w:p>
      <w:pPr>
        <w:pStyle w:val="Normal"/>
        <w:ind w:hanging="0"/>
        <w:rPr/>
      </w:pPr>
      <w:r>
        <w:rPr/>
        <w:t xml:space="preserve">La présente </w:t>
      </w:r>
      <w:r>
        <w:rPr>
          <w:b/>
          <w:bCs/>
        </w:rPr>
        <w:t>charte informatique</w:t>
      </w:r>
      <w:r>
        <w:rPr/>
        <w:t xml:space="preserve"> a pour objet de définir les règles d’usage, de sécurité et de bonne conduite relatives à l’utilisation des ressources informatiques et numériques de NETBYUS.</w:t>
      </w:r>
    </w:p>
    <w:p>
      <w:pPr>
        <w:pStyle w:val="Normal"/>
        <w:rPr/>
      </w:pPr>
      <w:r>
        <w:rPr/>
        <w:t xml:space="preserve">Elle s’applique à l’ensemble du personnel, qu’il soit </w:t>
      </w:r>
      <w:r>
        <w:rPr>
          <w:b/>
          <w:bCs/>
        </w:rPr>
        <w:t>salarié</w:t>
      </w:r>
      <w:r>
        <w:rPr/>
        <w:t xml:space="preserve">, </w:t>
      </w:r>
      <w:r>
        <w:rPr>
          <w:b/>
          <w:bCs/>
        </w:rPr>
        <w:t>consultant</w:t>
      </w:r>
      <w:r>
        <w:rPr/>
        <w:t xml:space="preserve">, </w:t>
      </w:r>
      <w:r>
        <w:rPr>
          <w:b/>
          <w:bCs/>
        </w:rPr>
        <w:t>stagiaire</w:t>
      </w:r>
      <w:r>
        <w:rPr/>
        <w:t xml:space="preserve">, </w:t>
      </w:r>
      <w:r>
        <w:rPr>
          <w:b/>
          <w:bCs/>
        </w:rPr>
        <w:t>alternant</w:t>
      </w:r>
      <w:r>
        <w:rPr/>
        <w:t xml:space="preserve"> ou </w:t>
      </w:r>
      <w:r>
        <w:rPr>
          <w:b/>
          <w:bCs/>
        </w:rPr>
        <w:t>prestataire</w:t>
      </w:r>
      <w:r>
        <w:rPr/>
        <w:t>, ayant accès au système d’information de l’entreprise.</w:t>
      </w:r>
    </w:p>
    <w:p>
      <w:pPr>
        <w:pStyle w:val="Normal"/>
        <w:rPr/>
      </w:pPr>
      <w:r>
        <w:rPr/>
        <w:t>Cette charte vise à :</w:t>
      </w:r>
    </w:p>
    <w:p>
      <w:pPr>
        <w:pStyle w:val="Normal"/>
        <w:numPr>
          <w:ilvl w:val="0"/>
          <w:numId w:val="3"/>
        </w:numPr>
        <w:spacing w:before="0" w:after="45"/>
        <w:rPr/>
      </w:pPr>
      <w:r>
        <w:rPr/>
        <w:t>Garantir la sécurité du système d’information (SI) et des données ;</w:t>
      </w:r>
    </w:p>
    <w:p>
      <w:pPr>
        <w:pStyle w:val="Normal"/>
        <w:numPr>
          <w:ilvl w:val="0"/>
          <w:numId w:val="3"/>
        </w:numPr>
        <w:spacing w:before="0" w:after="45"/>
        <w:rPr/>
      </w:pPr>
      <w:r>
        <w:rPr/>
        <w:t>Préserver les intérêts de l’entreprise et de ses clients ;</w:t>
      </w:r>
    </w:p>
    <w:p>
      <w:pPr>
        <w:pStyle w:val="Normal"/>
        <w:numPr>
          <w:ilvl w:val="0"/>
          <w:numId w:val="3"/>
        </w:numPr>
        <w:spacing w:before="0" w:after="45"/>
        <w:rPr/>
      </w:pPr>
      <w:r>
        <w:rPr/>
        <w:t>Promouvoir un usage responsable, éthique et professionnel des outils numériques.</w:t>
      </w:r>
    </w:p>
    <w:p>
      <w:pPr>
        <w:pStyle w:val="Normal"/>
        <w:spacing w:before="0" w:after="45"/>
        <w:rPr/>
      </w:pPr>
      <w:r>
        <w:rPr/>
      </w:r>
    </w:p>
    <w:p>
      <w:pPr>
        <w:pStyle w:val="Heading2"/>
        <w:rPr>
          <w:b/>
          <w:bCs/>
          <w:sz w:val="40"/>
          <w:szCs w:val="40"/>
        </w:rPr>
      </w:pPr>
      <w:bookmarkStart w:id="3" w:name="_Toc211595165"/>
      <w:r>
        <w:rPr>
          <w:b/>
          <w:bCs/>
          <w:sz w:val="40"/>
          <w:szCs w:val="40"/>
        </w:rPr>
        <w:t>2</w:t>
      </w:r>
      <w:bookmarkStart w:id="4" w:name="_Toc211595163_Copie_5"/>
      <w:bookmarkEnd w:id="3"/>
      <w:r>
        <w:rPr>
          <w:b/>
          <w:bCs/>
          <w:sz w:val="40"/>
          <w:szCs w:val="40"/>
        </w:rPr>
        <w:t xml:space="preserve">. </w:t>
      </w:r>
      <w:bookmarkStart w:id="5" w:name="_Toc211595164_Copie_5"/>
      <w:bookmarkEnd w:id="4"/>
      <w:bookmarkEnd w:id="5"/>
      <w:r>
        <w:rPr>
          <w:b/>
          <w:bCs/>
          <w:sz w:val="40"/>
          <w:szCs w:val="40"/>
        </w:rPr>
        <w:t>Champ d’application</w:t>
      </w:r>
    </w:p>
    <w:p>
      <w:pPr>
        <w:pStyle w:val="Normal"/>
        <w:rPr/>
      </w:pPr>
      <w:r>
        <w:rPr/>
        <w:t>La présente charte s'applique à l'ensemble des ressources informatiques suivantes :</w:t>
      </w:r>
    </w:p>
    <w:p>
      <w:pPr>
        <w:pStyle w:val="Normal"/>
        <w:numPr>
          <w:ilvl w:val="0"/>
          <w:numId w:val="1"/>
        </w:numPr>
        <w:spacing w:before="0" w:after="45"/>
        <w:rPr/>
      </w:pPr>
      <w:r>
        <w:rPr>
          <w:b/>
          <w:bCs/>
        </w:rPr>
        <w:t>Matériels</w:t>
      </w:r>
      <w:r>
        <w:rPr/>
        <w:t xml:space="preserve"> : </w:t>
      </w:r>
      <w:r>
        <w:rPr>
          <w:b/>
          <w:bCs/>
        </w:rPr>
        <w:t>Ordinateurs</w:t>
      </w:r>
      <w:r>
        <w:rPr/>
        <w:t xml:space="preserve">, </w:t>
      </w:r>
      <w:r>
        <w:rPr>
          <w:b/>
          <w:bCs/>
        </w:rPr>
        <w:t>smartphones</w:t>
      </w:r>
      <w:r>
        <w:rPr/>
        <w:t xml:space="preserve">, </w:t>
      </w:r>
      <w:r>
        <w:rPr>
          <w:b/>
          <w:bCs/>
        </w:rPr>
        <w:t>tablettes</w:t>
      </w:r>
      <w:r>
        <w:rPr/>
        <w:t xml:space="preserve">, </w:t>
      </w:r>
      <w:r>
        <w:rPr>
          <w:b/>
          <w:bCs/>
        </w:rPr>
        <w:t>serveurs</w:t>
      </w:r>
      <w:r>
        <w:rPr/>
        <w:t>, ainsi que l'ensemble de l'</w:t>
      </w:r>
      <w:r>
        <w:rPr>
          <w:b/>
          <w:bCs/>
        </w:rPr>
        <w:t>infrastructure réseau</w:t>
      </w:r>
      <w:r>
        <w:rPr/>
        <w:t xml:space="preserve"> (réseaux locaux, accès Internet).</w:t>
      </w:r>
    </w:p>
    <w:p>
      <w:pPr>
        <w:pStyle w:val="Normal"/>
        <w:numPr>
          <w:ilvl w:val="0"/>
          <w:numId w:val="1"/>
        </w:numPr>
        <w:spacing w:before="0" w:after="45"/>
        <w:rPr/>
      </w:pPr>
      <w:r>
        <w:rPr>
          <w:b/>
          <w:bCs/>
        </w:rPr>
        <w:t>Logiciels et applications</w:t>
      </w:r>
      <w:r>
        <w:rPr/>
        <w:t xml:space="preserve"> : </w:t>
      </w:r>
      <w:r>
        <w:rPr>
          <w:b/>
          <w:bCs/>
        </w:rPr>
        <w:t>Applications métier</w:t>
      </w:r>
      <w:r>
        <w:rPr/>
        <w:t xml:space="preserve">, </w:t>
      </w:r>
      <w:r>
        <w:rPr>
          <w:b/>
          <w:bCs/>
        </w:rPr>
        <w:t>messageries électroniques</w:t>
      </w:r>
      <w:r>
        <w:rPr/>
        <w:t xml:space="preserve">, et </w:t>
      </w:r>
      <w:r>
        <w:rPr>
          <w:b/>
          <w:bCs/>
        </w:rPr>
        <w:t>plateformes de collaboration</w:t>
      </w:r>
      <w:r>
        <w:rPr/>
        <w:t xml:space="preserve"> (messagerie instantanée, visioconférence, etc.).</w:t>
      </w:r>
    </w:p>
    <w:p>
      <w:pPr>
        <w:pStyle w:val="Normal"/>
        <w:numPr>
          <w:ilvl w:val="0"/>
          <w:numId w:val="1"/>
        </w:numPr>
        <w:spacing w:before="0" w:after="45"/>
        <w:rPr/>
      </w:pPr>
      <w:r>
        <w:rPr>
          <w:b/>
          <w:bCs/>
        </w:rPr>
        <w:t>Données</w:t>
      </w:r>
      <w:r>
        <w:rPr/>
        <w:t xml:space="preserve"> : </w:t>
      </w:r>
      <w:r>
        <w:rPr>
          <w:b/>
          <w:bCs/>
        </w:rPr>
        <w:t>Données clients</w:t>
      </w:r>
      <w:r>
        <w:rPr/>
        <w:t xml:space="preserve"> et </w:t>
      </w:r>
      <w:r>
        <w:rPr>
          <w:b/>
          <w:bCs/>
        </w:rPr>
        <w:t>données internes</w:t>
      </w:r>
      <w:r>
        <w:rPr/>
        <w:t>, sous toute forme que ce soit.</w:t>
      </w:r>
    </w:p>
    <w:p>
      <w:pPr>
        <w:pStyle w:val="Normal"/>
        <w:numPr>
          <w:ilvl w:val="0"/>
          <w:numId w:val="1"/>
        </w:numPr>
        <w:spacing w:before="0" w:after="45"/>
        <w:rPr/>
      </w:pPr>
      <w:r>
        <w:rPr/>
        <w:t xml:space="preserve">Les </w:t>
      </w:r>
      <w:r>
        <w:rPr>
          <w:b/>
          <w:bCs/>
        </w:rPr>
        <w:t>données clients</w:t>
      </w:r>
      <w:r>
        <w:rPr/>
        <w:t xml:space="preserve"> et </w:t>
      </w:r>
      <w:r>
        <w:rPr>
          <w:b/>
          <w:bCs/>
        </w:rPr>
        <w:t>données internes</w:t>
      </w:r>
      <w:r>
        <w:rPr>
          <w:b w:val="false"/>
          <w:bCs w:val="false"/>
        </w:rPr>
        <w:t>.</w:t>
      </w:r>
    </w:p>
    <w:p>
      <w:pPr>
        <w:pStyle w:val="Normal"/>
        <w:numPr>
          <w:ilvl w:val="0"/>
          <w:numId w:val="1"/>
        </w:numPr>
        <w:spacing w:before="0" w:after="45"/>
        <w:rPr/>
      </w:pPr>
      <w:r>
        <w:rPr>
          <w:b/>
          <w:bCs/>
        </w:rPr>
        <w:t>Environnements techniques</w:t>
      </w:r>
      <w:r>
        <w:rPr>
          <w:b w:val="false"/>
          <w:bCs w:val="false"/>
        </w:rPr>
        <w:t xml:space="preserve"> : Systèmes d'hébergement, de développement et de production.</w:t>
      </w:r>
    </w:p>
    <w:p>
      <w:pPr>
        <w:pStyle w:val="Normal"/>
        <w:spacing w:before="0" w:after="45"/>
        <w:rPr/>
      </w:pPr>
      <w:r>
        <w:rPr/>
      </w:r>
    </w:p>
    <w:p>
      <w:pPr>
        <w:pStyle w:val="Heading2"/>
        <w:rPr>
          <w:b/>
          <w:bCs/>
        </w:rPr>
      </w:pPr>
      <w:r>
        <w:rPr>
          <w:b/>
          <w:bCs/>
          <w:sz w:val="40"/>
          <w:szCs w:val="40"/>
        </w:rPr>
        <w:t>3</w:t>
      </w:r>
      <w:bookmarkStart w:id="6" w:name="_Toc211595166"/>
      <w:r>
        <w:rPr>
          <w:b/>
          <w:bCs/>
          <w:sz w:val="40"/>
          <w:szCs w:val="40"/>
        </w:rPr>
        <w:t>.</w:t>
      </w:r>
      <w:bookmarkEnd w:id="6"/>
      <w:r>
        <w:rPr>
          <w:b/>
          <w:bCs/>
          <w:sz w:val="40"/>
          <w:szCs w:val="40"/>
        </w:rPr>
        <w:t xml:space="preserve"> Responsabilités de l’utilisateur</w:t>
      </w:r>
    </w:p>
    <w:p>
      <w:pPr>
        <w:pStyle w:val="Normal"/>
        <w:rPr/>
      </w:pPr>
      <w:r>
        <w:rPr/>
        <w:t>Chaque utilisateur s’engage à :</w:t>
      </w:r>
    </w:p>
    <w:p>
      <w:pPr>
        <w:pStyle w:val="Normal"/>
        <w:numPr>
          <w:ilvl w:val="0"/>
          <w:numId w:val="2"/>
        </w:numPr>
        <w:spacing w:before="0" w:after="45"/>
        <w:rPr/>
      </w:pPr>
      <w:r>
        <w:rPr/>
        <w:t xml:space="preserve">Utiliser les outils informatiques </w:t>
      </w:r>
      <w:r>
        <w:rPr>
          <w:b/>
          <w:bCs/>
        </w:rPr>
        <w:t>exclusivement à des fins professionnelles</w:t>
      </w:r>
      <w:r>
        <w:rPr/>
        <w:t xml:space="preserve">, sauf tolérance spécifique accordée par la </w:t>
      </w:r>
      <w:r>
        <w:rPr>
          <w:b/>
          <w:bCs/>
        </w:rPr>
        <w:t>DSI</w:t>
      </w:r>
      <w:r>
        <w:rPr/>
        <w:t>.</w:t>
      </w:r>
    </w:p>
    <w:p>
      <w:pPr>
        <w:pStyle w:val="Normal"/>
        <w:numPr>
          <w:ilvl w:val="0"/>
          <w:numId w:val="2"/>
        </w:numPr>
        <w:spacing w:before="0" w:after="45"/>
        <w:rPr/>
      </w:pPr>
      <w:r>
        <w:rPr>
          <w:b/>
          <w:bCs/>
        </w:rPr>
        <w:t>Protéger ses identifiants et mots de passe</w:t>
      </w:r>
      <w:r>
        <w:rPr/>
        <w:t>. Ceux-ci sont strictement personnels et ne doivent être ni partagés ni communiqués.</w:t>
      </w:r>
    </w:p>
    <w:p>
      <w:pPr>
        <w:pStyle w:val="Normal"/>
        <w:numPr>
          <w:ilvl w:val="0"/>
          <w:numId w:val="2"/>
        </w:numPr>
        <w:spacing w:before="0" w:after="45"/>
        <w:rPr/>
      </w:pPr>
      <w:r>
        <w:rPr>
          <w:b/>
          <w:bCs/>
        </w:rPr>
        <w:t>Verrouiller sa session</w:t>
      </w:r>
      <w:r>
        <w:rPr/>
        <w:t xml:space="preserve"> lorsqu’il quitte son poste.</w:t>
      </w:r>
    </w:p>
    <w:p>
      <w:pPr>
        <w:pStyle w:val="Normal"/>
        <w:numPr>
          <w:ilvl w:val="0"/>
          <w:numId w:val="2"/>
        </w:numPr>
        <w:spacing w:before="0" w:after="45"/>
        <w:rPr/>
      </w:pPr>
      <w:r>
        <w:rPr/>
        <w:t xml:space="preserve">Respecter la </w:t>
      </w:r>
      <w:r>
        <w:rPr>
          <w:b/>
          <w:bCs/>
        </w:rPr>
        <w:t>confidentialité</w:t>
      </w:r>
      <w:r>
        <w:rPr/>
        <w:t xml:space="preserve"> des données auxquelles il a accès.</w:t>
      </w:r>
    </w:p>
    <w:p>
      <w:pPr>
        <w:pStyle w:val="Normal"/>
        <w:numPr>
          <w:ilvl w:val="0"/>
          <w:numId w:val="2"/>
        </w:numPr>
        <w:spacing w:before="0" w:after="45"/>
        <w:rPr/>
      </w:pPr>
      <w:r>
        <w:rPr/>
        <w:t xml:space="preserve">Signaler immédiatement la </w:t>
      </w:r>
      <w:r>
        <w:rPr>
          <w:b/>
          <w:bCs/>
        </w:rPr>
        <w:t>DSI</w:t>
      </w:r>
      <w:r>
        <w:rPr/>
        <w:t xml:space="preserve"> de toute </w:t>
      </w:r>
      <w:r>
        <w:rPr>
          <w:b/>
          <w:bCs/>
        </w:rPr>
        <w:t>anomalie</w:t>
      </w:r>
      <w:r>
        <w:rPr/>
        <w:t xml:space="preserve">, </w:t>
      </w:r>
      <w:r>
        <w:rPr>
          <w:b/>
          <w:bCs/>
        </w:rPr>
        <w:t>suspicion de piratage</w:t>
      </w:r>
      <w:r>
        <w:rPr/>
        <w:t xml:space="preserve"> ou </w:t>
      </w:r>
      <w:r>
        <w:rPr>
          <w:b/>
          <w:bCs/>
        </w:rPr>
        <w:t>perte d’équipement</w:t>
      </w:r>
      <w:r>
        <w:rPr/>
        <w:t>.</w:t>
      </w:r>
    </w:p>
    <w:p>
      <w:pPr>
        <w:pStyle w:val="Normal"/>
        <w:numPr>
          <w:ilvl w:val="0"/>
          <w:numId w:val="0"/>
        </w:numPr>
        <w:spacing w:before="0" w:after="45"/>
        <w:ind w:hanging="0" w:left="720"/>
        <w:rPr/>
      </w:pPr>
      <w:r>
        <w:rPr/>
      </w:r>
    </w:p>
    <w:p>
      <w:pPr>
        <w:pStyle w:val="Heading3"/>
        <w:rPr/>
      </w:pPr>
      <w:r>
        <w:rPr>
          <w:b/>
          <w:bCs/>
          <w:sz w:val="40"/>
          <w:szCs w:val="40"/>
        </w:rPr>
        <w:t xml:space="preserve">4. </w:t>
      </w:r>
      <w:r>
        <w:rPr>
          <w:rStyle w:val="Strong"/>
          <w:b/>
          <w:bCs/>
          <w:sz w:val="40"/>
          <w:szCs w:val="40"/>
        </w:rPr>
        <w:t>POLITIQUE D'AUTHENTIFICATION ET SÉCURITÉ DES POSTES DE TRAVAIL</w:t>
      </w:r>
    </w:p>
    <w:p>
      <w:pPr>
        <w:pStyle w:val="Heading2"/>
        <w:rPr/>
      </w:pPr>
      <w:r>
        <w:rPr>
          <w:rStyle w:val="Strong"/>
          <w:b/>
          <w:bCs/>
          <w:sz w:val="28"/>
          <w:szCs w:val="28"/>
        </w:rPr>
        <w:t>4</w:t>
      </w:r>
      <w:bookmarkStart w:id="7" w:name="_Toc211595167_Copie_1"/>
      <w:r>
        <w:rPr>
          <w:rStyle w:val="Strong"/>
          <w:b/>
          <w:bCs/>
          <w:sz w:val="28"/>
          <w:szCs w:val="28"/>
        </w:rPr>
        <w:t xml:space="preserve">.1 </w:t>
      </w:r>
      <w:bookmarkEnd w:id="7"/>
      <w:r>
        <w:rPr>
          <w:rStyle w:val="Strong"/>
          <w:b/>
          <w:bCs/>
          <w:sz w:val="28"/>
          <w:szCs w:val="28"/>
        </w:rPr>
        <w:t>Authentification, identité numérique et mots de passe</w:t>
      </w:r>
    </w:p>
    <w:p>
      <w:pPr>
        <w:pStyle w:val="Normal"/>
        <w:rPr/>
      </w:pPr>
      <w:r>
        <w:rPr/>
        <w:t>La gestion de l'identité numérique est la fondation de notre sécurité.</w:t>
      </w:r>
    </w:p>
    <w:p>
      <w:pPr>
        <w:pStyle w:val="Heading2"/>
        <w:rPr/>
      </w:pPr>
      <w:r>
        <w:rPr>
          <w:rStyle w:val="Strong"/>
          <w:b/>
          <w:bCs/>
          <w:sz w:val="24"/>
          <w:szCs w:val="24"/>
        </w:rPr>
        <w:t>4</w:t>
      </w:r>
      <w:bookmarkStart w:id="8" w:name="_Toc211595167_Copie_1_Copie_2"/>
      <w:r>
        <w:rPr>
          <w:rStyle w:val="Strong"/>
          <w:b/>
          <w:bCs/>
          <w:sz w:val="24"/>
          <w:szCs w:val="24"/>
        </w:rPr>
        <w:t xml:space="preserve">.1.1 </w:t>
      </w:r>
      <w:bookmarkEnd w:id="8"/>
      <w:r>
        <w:rPr>
          <w:rStyle w:val="Strong"/>
          <w:b/>
          <w:bCs/>
          <w:sz w:val="24"/>
          <w:szCs w:val="24"/>
        </w:rPr>
        <w:t>Authentification, identité numérique et mots de passe</w:t>
      </w:r>
    </w:p>
    <w:p>
      <w:pPr>
        <w:pStyle w:val="Normal"/>
        <w:numPr>
          <w:ilvl w:val="0"/>
          <w:numId w:val="4"/>
        </w:numPr>
        <w:spacing w:before="0" w:after="45"/>
        <w:rPr/>
      </w:pPr>
      <w:r>
        <w:rPr>
          <w:b/>
        </w:rPr>
        <w:t>Identifiant unique :</w:t>
      </w:r>
      <w:r>
        <w:rPr/>
        <w:t xml:space="preserve"> Chaque utilisateur se voit attribuer un </w:t>
      </w:r>
      <w:r>
        <w:rPr>
          <w:b/>
        </w:rPr>
        <w:t>identifiant personnel et unique</w:t>
      </w:r>
      <w:r>
        <w:rPr/>
        <w:t xml:space="preserve"> pour l'accès au Système d'Information (SI). Cet identifiant est strictement personnel et ne doit jamais être cédé, prêté, ou partagé.</w:t>
      </w:r>
    </w:p>
    <w:p>
      <w:pPr>
        <w:pStyle w:val="Normal"/>
        <w:numPr>
          <w:ilvl w:val="0"/>
          <w:numId w:val="4"/>
        </w:numPr>
        <w:spacing w:before="0" w:after="45"/>
        <w:rPr/>
      </w:pPr>
      <w:r>
        <w:rPr>
          <w:b/>
        </w:rPr>
        <w:t>Interdiction d'usurpation :</w:t>
      </w:r>
      <w:r>
        <w:rPr/>
        <w:t xml:space="preserve"> L'usurpation d'identité, l'utilisation du compte d'un tiers ou l'utilisation d'un compte générique non nominatif (sauf compte de service technique formellement identifié) est formellement interdite.</w:t>
      </w:r>
    </w:p>
    <w:p>
      <w:pPr>
        <w:pStyle w:val="Heading2"/>
        <w:rPr/>
      </w:pPr>
      <w:r>
        <w:rPr>
          <w:rStyle w:val="Strong"/>
          <w:b/>
          <w:bCs/>
          <w:sz w:val="24"/>
          <w:szCs w:val="24"/>
        </w:rPr>
        <w:t>4</w:t>
      </w:r>
      <w:bookmarkStart w:id="9" w:name="_Toc211595167_Copie_1_Copie_2_Copie_1"/>
      <w:r>
        <w:rPr>
          <w:rStyle w:val="Strong"/>
          <w:b/>
          <w:bCs/>
          <w:sz w:val="24"/>
          <w:szCs w:val="24"/>
        </w:rPr>
        <w:t xml:space="preserve">.1.2 </w:t>
      </w:r>
      <w:bookmarkEnd w:id="9"/>
      <w:r>
        <w:rPr>
          <w:rStyle w:val="Strong"/>
          <w:b/>
          <w:bCs/>
          <w:sz w:val="24"/>
          <w:szCs w:val="24"/>
        </w:rPr>
        <w:t>Exigences en matière de mots de passe</w:t>
      </w:r>
    </w:p>
    <w:p>
      <w:pPr>
        <w:pStyle w:val="Normal"/>
        <w:rPr/>
      </w:pPr>
      <w:r>
        <w:rPr/>
        <w:t>Les mots de passe doivent impérativement respecter les critères de robustesse et de gestion suivants :</w:t>
      </w:r>
    </w:p>
    <w:p>
      <w:pPr>
        <w:pStyle w:val="Normal"/>
        <w:numPr>
          <w:ilvl w:val="0"/>
          <w:numId w:val="4"/>
        </w:numPr>
        <w:spacing w:before="0" w:after="45"/>
        <w:rPr/>
      </w:pPr>
      <w:r>
        <w:rPr>
          <w:b/>
        </w:rPr>
        <w:t>Longueur et complexité :</w:t>
      </w:r>
      <w:r>
        <w:rPr/>
        <w:t xml:space="preserve"> Le mot de passe doit contenir un minimum de </w:t>
      </w:r>
      <w:r>
        <w:rPr>
          <w:b/>
        </w:rPr>
        <w:t>12 caractères</w:t>
      </w:r>
      <w:r>
        <w:rPr/>
        <w:t xml:space="preserve"> et être complexe, incluant une combinaison de lettres minuscules, de majuscules, de chiffres et de symboles.</w:t>
      </w:r>
    </w:p>
    <w:p>
      <w:pPr>
        <w:pStyle w:val="Normal"/>
        <w:numPr>
          <w:ilvl w:val="0"/>
          <w:numId w:val="4"/>
        </w:numPr>
        <w:spacing w:before="0" w:after="45"/>
        <w:rPr/>
      </w:pPr>
      <w:r>
        <w:rPr>
          <w:b/>
        </w:rPr>
        <w:t>Périodicité :</w:t>
      </w:r>
      <w:r>
        <w:rPr/>
        <w:t xml:space="preserve"> Le renouvellement du mot de passe est rendu </w:t>
      </w:r>
      <w:r>
        <w:rPr>
          <w:b/>
        </w:rPr>
        <w:t>obligatoire tous les 90 jours</w:t>
      </w:r>
      <w:r>
        <w:rPr/>
        <w:t xml:space="preserve"> par le système de gestion des identités.</w:t>
      </w:r>
    </w:p>
    <w:p>
      <w:pPr>
        <w:pStyle w:val="Normal"/>
        <w:numPr>
          <w:ilvl w:val="0"/>
          <w:numId w:val="4"/>
        </w:numPr>
        <w:spacing w:before="0" w:after="45"/>
        <w:rPr/>
      </w:pPr>
      <w:r>
        <w:rPr>
          <w:b/>
          <w:bCs/>
        </w:rPr>
        <w:t>Confidentialité absolue</w:t>
      </w:r>
      <w:r>
        <w:rPr/>
        <w:t xml:space="preserve"> : Le mot de passe ne doit jamais être communiqué à un tiers, y compris à un membre de la DSI. Il est interdit de le noter en clair sur un support papier ou électronique non chiffré.</w:t>
      </w:r>
    </w:p>
    <w:p>
      <w:pPr>
        <w:pStyle w:val="Heading2"/>
        <w:rPr/>
      </w:pPr>
      <w:r>
        <w:rPr>
          <w:rStyle w:val="Strong"/>
          <w:b/>
          <w:bCs/>
          <w:sz w:val="24"/>
          <w:szCs w:val="24"/>
        </w:rPr>
        <w:t>4</w:t>
      </w:r>
      <w:bookmarkStart w:id="10" w:name="_Toc211595167_Copie_1_Copie_2_Copie_1_Co"/>
      <w:r>
        <w:rPr>
          <w:rStyle w:val="Strong"/>
          <w:b/>
          <w:bCs/>
          <w:sz w:val="24"/>
          <w:szCs w:val="24"/>
        </w:rPr>
        <w:t xml:space="preserve">.1.3 </w:t>
      </w:r>
      <w:bookmarkEnd w:id="10"/>
      <w:r>
        <w:rPr>
          <w:rStyle w:val="Strong"/>
          <w:b/>
          <w:bCs/>
          <w:sz w:val="24"/>
          <w:szCs w:val="24"/>
        </w:rPr>
        <w:t>Authentification Multi-Facteurs (MFA)</w:t>
      </w:r>
    </w:p>
    <w:p>
      <w:pPr>
        <w:pStyle w:val="Normal"/>
        <w:numPr>
          <w:ilvl w:val="0"/>
          <w:numId w:val="8"/>
        </w:numPr>
        <w:rPr/>
      </w:pPr>
      <w:r>
        <w:rPr>
          <w:b/>
        </w:rPr>
        <w:t>MFA obligatoire :</w:t>
      </w:r>
      <w:r>
        <w:rPr/>
        <w:t xml:space="preserve"> L'usage de l'authentification multi-facteurs (MFA) est </w:t>
      </w:r>
      <w:r>
        <w:rPr>
          <w:b/>
        </w:rPr>
        <w:t>obligatoire</w:t>
      </w:r>
      <w:r>
        <w:rPr/>
        <w:t xml:space="preserve"> pour tous les accès jugés sensibles ou critiques par la DSI.</w:t>
      </w:r>
    </w:p>
    <w:p>
      <w:pPr>
        <w:pStyle w:val="Normal"/>
        <w:numPr>
          <w:ilvl w:val="0"/>
          <w:numId w:val="8"/>
        </w:numPr>
        <w:rPr/>
      </w:pPr>
      <w:r>
        <w:rPr>
          <w:b/>
        </w:rPr>
        <w:t>Périmètre :</w:t>
      </w:r>
      <w:r>
        <w:rPr/>
        <w:t xml:space="preserve"> Le MFA est notamment requis pour l'accès aux boîtes e-mails professionnelles, aux environnements de production et aux plateformes de gestion des clients. L'utilisateur doit se conformer au dispositif (clé physique) fourni par l'entreprise.</w:t>
      </w:r>
    </w:p>
    <w:p>
      <w:pPr>
        <w:pStyle w:val="Heading2"/>
        <w:rPr/>
      </w:pPr>
      <w:r>
        <w:rPr>
          <w:rStyle w:val="Strong"/>
          <w:b/>
          <w:bCs/>
          <w:sz w:val="28"/>
          <w:szCs w:val="28"/>
        </w:rPr>
        <w:t>4</w:t>
      </w:r>
      <w:bookmarkStart w:id="11" w:name="_Toc211595167_Copie_1_Copie_1"/>
      <w:r>
        <w:rPr>
          <w:rStyle w:val="Strong"/>
          <w:b/>
          <w:bCs/>
          <w:sz w:val="28"/>
          <w:szCs w:val="28"/>
        </w:rPr>
        <w:t xml:space="preserve">.2 </w:t>
      </w:r>
      <w:bookmarkEnd w:id="11"/>
      <w:r>
        <w:rPr>
          <w:rStyle w:val="Strong"/>
          <w:b/>
          <w:bCs/>
          <w:sz w:val="28"/>
          <w:szCs w:val="28"/>
        </w:rPr>
        <w:t>Verrouillage et sécurité physique des postes</w:t>
      </w:r>
    </w:p>
    <w:p>
      <w:pPr>
        <w:pStyle w:val="Normal"/>
        <w:rPr/>
      </w:pPr>
      <w:r>
        <w:rPr/>
        <w:t>La sécurité physique du matériel est une responsabilité de l'utilisateur et un prérequis à la confidentialité.</w:t>
      </w:r>
    </w:p>
    <w:p>
      <w:pPr>
        <w:pStyle w:val="Normal"/>
        <w:rPr/>
      </w:pPr>
      <w:r>
        <w:rPr/>
      </w:r>
    </w:p>
    <w:p>
      <w:pPr>
        <w:pStyle w:val="Normal"/>
        <w:numPr>
          <w:ilvl w:val="0"/>
          <w:numId w:val="9"/>
        </w:numPr>
        <w:rPr/>
      </w:pPr>
      <w:r>
        <w:rPr>
          <w:b/>
        </w:rPr>
        <w:t>Verrouillage Systématique :</w:t>
      </w:r>
      <w:r>
        <w:rPr/>
        <w:t xml:space="preserve"> La session de travail doit être </w:t>
      </w:r>
      <w:r>
        <w:rPr>
          <w:b/>
        </w:rPr>
        <w:t>systématiquement verrouillée</w:t>
      </w:r>
      <w:r>
        <w:rPr/>
        <w:t xml:space="preserve"> (</w:t>
      </w:r>
      <w:r>
        <w:rPr>
          <w:i/>
        </w:rPr>
        <w:t>Clean Screen</w:t>
      </w:r>
      <w:r>
        <w:rPr/>
        <w:t>) dès que le poste est laissé sans surveillance, même pour une très courte absence.</w:t>
      </w:r>
    </w:p>
    <w:p>
      <w:pPr>
        <w:pStyle w:val="Normal"/>
        <w:numPr>
          <w:ilvl w:val="0"/>
          <w:numId w:val="9"/>
        </w:numPr>
        <w:rPr/>
      </w:pPr>
      <w:r>
        <w:rPr>
          <w:b/>
        </w:rPr>
        <w:t>Gestion des Absences :</w:t>
      </w:r>
      <w:r>
        <w:rPr/>
        <w:t xml:space="preserve"> En cas d'absence prolongée (réunion externe, fin de journée), le matériel doit être éteint ou mis en veille sécurisée et rangé conformément à la politique </w:t>
      </w:r>
      <w:r>
        <w:rPr>
          <w:i/>
        </w:rPr>
        <w:t>Clean Desk.</w:t>
      </w:r>
    </w:p>
    <w:p>
      <w:pPr>
        <w:pStyle w:val="Normal"/>
        <w:numPr>
          <w:ilvl w:val="0"/>
          <w:numId w:val="9"/>
        </w:numPr>
        <w:rPr/>
      </w:pPr>
      <w:r>
        <w:rPr>
          <w:b/>
        </w:rPr>
        <w:t>Transport Sécurisé :</w:t>
      </w:r>
      <w:r>
        <w:rPr/>
        <w:t xml:space="preserve"> Les équipements mobiles (ordinateurs portables) doivent être transportés dans des sacs qui n'attirent pas l'attention et ne jamais être laissés sans surveillance.</w:t>
      </w:r>
    </w:p>
    <w:p>
      <w:pPr>
        <w:pStyle w:val="Heading2"/>
        <w:rPr/>
      </w:pPr>
      <w:r>
        <w:rPr>
          <w:rStyle w:val="Strong"/>
          <w:b/>
          <w:bCs/>
          <w:sz w:val="28"/>
          <w:szCs w:val="28"/>
        </w:rPr>
        <w:t>4</w:t>
      </w:r>
      <w:bookmarkStart w:id="12" w:name="_Toc211595167_Copie_1_Copie_1_Copie_1"/>
      <w:r>
        <w:rPr>
          <w:rStyle w:val="Strong"/>
          <w:b/>
          <w:bCs/>
          <w:sz w:val="28"/>
          <w:szCs w:val="28"/>
        </w:rPr>
        <w:t xml:space="preserve">.3 </w:t>
      </w:r>
      <w:bookmarkEnd w:id="12"/>
      <w:r>
        <w:rPr>
          <w:rStyle w:val="Strong"/>
          <w:b/>
          <w:bCs/>
          <w:sz w:val="28"/>
          <w:szCs w:val="28"/>
        </w:rPr>
        <w:t>Signalement et gestion d'incident</w:t>
      </w:r>
    </w:p>
    <w:p>
      <w:pPr>
        <w:pStyle w:val="Normal"/>
        <w:rPr/>
      </w:pPr>
      <w:r>
        <w:rPr/>
        <w:t>Tout utilisateur a l'obligation de signaler sans délai tout événement susceptible de compromettre la sécurité du Système d'Information.</w:t>
      </w:r>
    </w:p>
    <w:p>
      <w:pPr>
        <w:pStyle w:val="Normal"/>
        <w:numPr>
          <w:ilvl w:val="0"/>
          <w:numId w:val="10"/>
        </w:numPr>
        <w:rPr/>
      </w:pPr>
      <w:r>
        <w:rPr>
          <w:b/>
        </w:rPr>
        <w:t>Signalement immédiat :</w:t>
      </w:r>
      <w:r>
        <w:rPr/>
        <w:t xml:space="preserve"> Tout incident réel ou toute suspicion d'incident doit être signalé </w:t>
      </w:r>
      <w:r>
        <w:rPr>
          <w:b/>
        </w:rPr>
        <w:t>immédiatement</w:t>
      </w:r>
      <w:r>
        <w:rPr/>
        <w:t xml:space="preserve"> à la DSI via le canal officiel de support.</w:t>
      </w:r>
    </w:p>
    <w:p>
      <w:pPr>
        <w:pStyle w:val="Normal"/>
        <w:numPr>
          <w:ilvl w:val="0"/>
          <w:numId w:val="10"/>
        </w:numPr>
        <w:rPr/>
      </w:pPr>
      <w:r>
        <w:rPr>
          <w:b/>
        </w:rPr>
        <w:t>Périmètre de signalement :</w:t>
      </w:r>
      <w:r>
        <w:rPr/>
        <w:t xml:space="preserve"> Sont considérés comme incidents prioritaires :</w:t>
      </w:r>
    </w:p>
    <w:p>
      <w:pPr>
        <w:pStyle w:val="Normal"/>
        <w:numPr>
          <w:ilvl w:val="1"/>
          <w:numId w:val="10"/>
        </w:numPr>
        <w:spacing w:before="0" w:after="45"/>
        <w:rPr/>
      </w:pPr>
      <w:r>
        <w:rPr/>
        <w:t xml:space="preserve">La réception d'un e-mail de </w:t>
      </w:r>
      <w:r>
        <w:rPr>
          <w:i/>
        </w:rPr>
        <w:t>phishing</w:t>
      </w:r>
      <w:r>
        <w:rPr/>
        <w:t xml:space="preserve"> ou d'une tentative d'escroquerie.</w:t>
      </w:r>
    </w:p>
    <w:p>
      <w:pPr>
        <w:pStyle w:val="Normal"/>
        <w:numPr>
          <w:ilvl w:val="1"/>
          <w:numId w:val="10"/>
        </w:numPr>
        <w:spacing w:before="0" w:after="45"/>
        <w:rPr/>
      </w:pPr>
      <w:r>
        <w:rPr/>
        <w:t xml:space="preserve">La détection d'un virus ou d'un </w:t>
      </w:r>
      <w:r>
        <w:rPr>
          <w:i/>
        </w:rPr>
        <w:t>malware</w:t>
      </w:r>
      <w:r>
        <w:rPr/>
        <w:t xml:space="preserve"> par l'antivirus.</w:t>
      </w:r>
    </w:p>
    <w:p>
      <w:pPr>
        <w:pStyle w:val="Normal"/>
        <w:numPr>
          <w:ilvl w:val="1"/>
          <w:numId w:val="10"/>
        </w:numPr>
        <w:spacing w:before="0" w:after="45"/>
        <w:rPr/>
      </w:pPr>
      <w:r>
        <w:rPr/>
        <w:t>La perte ou le vol d'un équipement professionnel.</w:t>
      </w:r>
    </w:p>
    <w:p>
      <w:pPr>
        <w:pStyle w:val="Normal"/>
        <w:rPr/>
      </w:pPr>
      <w:r>
        <w:rPr/>
      </w:r>
    </w:p>
    <w:p>
      <w:pPr>
        <w:pStyle w:val="Heading3"/>
        <w:rPr/>
      </w:pPr>
      <w:r>
        <w:rPr>
          <w:b/>
          <w:bCs/>
          <w:sz w:val="40"/>
          <w:szCs w:val="40"/>
        </w:rPr>
        <w:t xml:space="preserve">5. </w:t>
      </w:r>
      <w:r>
        <w:rPr>
          <w:rStyle w:val="Strong"/>
          <w:b/>
          <w:bCs/>
          <w:sz w:val="40"/>
          <w:szCs w:val="40"/>
        </w:rPr>
        <w:t>Données et Confidentialité</w:t>
      </w:r>
    </w:p>
    <w:p>
      <w:pPr>
        <w:pStyle w:val="Normal"/>
        <w:rPr>
          <w:rStyle w:val="Strong"/>
          <w:b/>
          <w:bCs/>
          <w:sz w:val="40"/>
          <w:szCs w:val="40"/>
        </w:rPr>
      </w:pPr>
      <w:r>
        <w:rPr>
          <w:b/>
          <w:bCs/>
          <w:sz w:val="40"/>
          <w:szCs w:val="40"/>
        </w:rPr>
      </w:r>
    </w:p>
    <w:p>
      <w:pPr>
        <w:pStyle w:val="Heading2"/>
        <w:rPr/>
      </w:pPr>
      <w:r>
        <w:rPr>
          <w:rStyle w:val="Strong"/>
          <w:b/>
          <w:bCs/>
          <w:sz w:val="28"/>
          <w:szCs w:val="28"/>
        </w:rPr>
        <w:t>5</w:t>
      </w:r>
      <w:bookmarkStart w:id="13" w:name="_Toc211595167_Copie_1_Copie_1_Copie_1_Co"/>
      <w:r>
        <w:rPr>
          <w:rStyle w:val="Strong"/>
          <w:b/>
          <w:bCs/>
          <w:sz w:val="28"/>
          <w:szCs w:val="28"/>
        </w:rPr>
        <w:t xml:space="preserve">.1 </w:t>
      </w:r>
      <w:bookmarkEnd w:id="13"/>
      <w:r>
        <w:rPr>
          <w:rStyle w:val="Strong"/>
          <w:b/>
          <w:bCs/>
          <w:sz w:val="28"/>
          <w:szCs w:val="28"/>
        </w:rPr>
        <w:t>Politique de gestion des données internes et clients</w:t>
      </w:r>
    </w:p>
    <w:p>
      <w:pPr>
        <w:pStyle w:val="Heading2"/>
        <w:rPr/>
      </w:pPr>
      <w:r>
        <w:rPr>
          <w:rStyle w:val="Strong"/>
          <w:b/>
          <w:bCs/>
          <w:sz w:val="24"/>
          <w:szCs w:val="24"/>
        </w:rPr>
        <w:t>5</w:t>
      </w:r>
      <w:bookmarkStart w:id="14" w:name="_Toc211595167_Copie_1_Copie_1_Copie_1_C1"/>
      <w:r>
        <w:rPr>
          <w:rStyle w:val="Strong"/>
          <w:b/>
          <w:bCs/>
          <w:sz w:val="24"/>
          <w:szCs w:val="24"/>
        </w:rPr>
        <w:t xml:space="preserve">.1.1 </w:t>
      </w:r>
      <w:bookmarkEnd w:id="14"/>
      <w:r>
        <w:rPr>
          <w:rStyle w:val="Strong"/>
          <w:b/>
          <w:bCs/>
          <w:sz w:val="24"/>
          <w:szCs w:val="24"/>
        </w:rPr>
        <w:t>Régime de Propriété et de Confidentialité</w:t>
      </w:r>
    </w:p>
    <w:p>
      <w:pPr>
        <w:pStyle w:val="Normal"/>
        <w:numPr>
          <w:ilvl w:val="0"/>
          <w:numId w:val="5"/>
        </w:numPr>
        <w:rPr/>
      </w:pPr>
      <w:r>
        <w:rPr>
          <w:b/>
          <w:bCs/>
        </w:rPr>
        <w:t>Propriété exclusive</w:t>
      </w:r>
      <w:r>
        <w:rPr/>
        <w:t xml:space="preserve"> : Toutes les données stockées, traitées ou transmises via le Système d'Information (SI) de </w:t>
      </w:r>
      <w:r>
        <w:rPr>
          <w:b/>
          <w:bCs/>
        </w:rPr>
        <w:t>NETBYUS</w:t>
      </w:r>
      <w:r>
        <w:rPr/>
        <w:t xml:space="preserve"> sont la propriété exclusive de l'entreprise et/ou des clients pour le compte desquels elles sont manipulées. L'utilisateur n'acquiert aucun droit de propriété sur ces données.</w:t>
      </w:r>
    </w:p>
    <w:p>
      <w:pPr>
        <w:pStyle w:val="Normal"/>
        <w:numPr>
          <w:ilvl w:val="0"/>
          <w:numId w:val="5"/>
        </w:numPr>
        <w:rPr/>
      </w:pPr>
      <w:r>
        <w:rPr>
          <w:b/>
          <w:bCs/>
        </w:rPr>
        <w:t>Obligation de confidentialité renforcée</w:t>
      </w:r>
      <w:r>
        <w:rPr/>
        <w:t xml:space="preserve"> : L'accès aux données clients est strictement limité aux besoins du projet. Cette obligation de confidentialité est absolue et perdure après la fin de la mission ou du contrat de travail.</w:t>
      </w:r>
    </w:p>
    <w:p>
      <w:pPr>
        <w:pStyle w:val="Heading2"/>
        <w:rPr/>
      </w:pPr>
      <w:r>
        <w:rPr>
          <w:rStyle w:val="Strong"/>
          <w:b/>
          <w:bCs/>
          <w:sz w:val="24"/>
          <w:szCs w:val="24"/>
        </w:rPr>
        <w:t>5</w:t>
      </w:r>
      <w:bookmarkStart w:id="15" w:name="_Toc211595167_Copie_1_Copie_1_Copie_1_C2"/>
      <w:r>
        <w:rPr>
          <w:rStyle w:val="Strong"/>
          <w:b/>
          <w:bCs/>
          <w:sz w:val="24"/>
          <w:szCs w:val="24"/>
        </w:rPr>
        <w:t xml:space="preserve">.1.2 </w:t>
      </w:r>
      <w:bookmarkEnd w:id="15"/>
      <w:r>
        <w:rPr>
          <w:rStyle w:val="Strong"/>
          <w:b/>
          <w:bCs/>
          <w:sz w:val="24"/>
          <w:szCs w:val="24"/>
        </w:rPr>
        <w:t>Restrictions d'extraction et de transfert</w:t>
      </w:r>
    </w:p>
    <w:p>
      <w:pPr>
        <w:pStyle w:val="Normal"/>
        <w:numPr>
          <w:ilvl w:val="0"/>
          <w:numId w:val="6"/>
        </w:numPr>
        <w:rPr/>
      </w:pPr>
      <w:r>
        <w:rPr>
          <w:b/>
          <w:bCs/>
        </w:rPr>
        <w:t>Interdiction d'extraction</w:t>
      </w:r>
      <w:r>
        <w:rPr/>
        <w:t xml:space="preserve"> : Toute extraction, copie, reproduction ou transfert de données hors des dispositifs et applications sécurisés de l'entreprise est </w:t>
      </w:r>
      <w:r>
        <w:rPr>
          <w:b/>
          <w:bCs/>
        </w:rPr>
        <w:t>strictement interdit</w:t>
      </w:r>
      <w:r>
        <w:rPr/>
        <w:t xml:space="preserve"> sans une autorisation formelle et écrite de la </w:t>
      </w:r>
      <w:r>
        <w:rPr>
          <w:b/>
          <w:bCs/>
        </w:rPr>
        <w:t>DSI</w:t>
      </w:r>
      <w:r>
        <w:rPr/>
        <w:t>.</w:t>
      </w:r>
    </w:p>
    <w:p>
      <w:pPr>
        <w:pStyle w:val="Normal"/>
        <w:numPr>
          <w:ilvl w:val="0"/>
          <w:numId w:val="6"/>
        </w:numPr>
        <w:rPr/>
      </w:pPr>
      <w:r>
        <w:rPr>
          <w:b/>
          <w:bCs/>
        </w:rPr>
        <w:t>Transfert contrôlé</w:t>
      </w:r>
      <w:r>
        <w:rPr/>
        <w:t xml:space="preserve"> : Si un transfert est autorisé, il doit se faire uniquement via les </w:t>
      </w:r>
      <w:r>
        <w:rPr>
          <w:b/>
          <w:bCs/>
        </w:rPr>
        <w:t>canaux sécurisés</w:t>
      </w:r>
      <w:r>
        <w:rPr/>
        <w:t xml:space="preserve"> et </w:t>
      </w:r>
      <w:r>
        <w:rPr>
          <w:b/>
          <w:bCs/>
        </w:rPr>
        <w:t>chiffrés</w:t>
      </w:r>
      <w:r>
        <w:rPr/>
        <w:t xml:space="preserve"> (liens de partage sécurisés de l'entreprise etc.) et jamais par des services de messagerie ou de stockage cloud personnels.</w:t>
      </w:r>
    </w:p>
    <w:p>
      <w:pPr>
        <w:pStyle w:val="Normal"/>
        <w:numPr>
          <w:ilvl w:val="0"/>
          <w:numId w:val="6"/>
        </w:numPr>
        <w:rPr/>
      </w:pPr>
      <w:r>
        <w:rPr>
          <w:b/>
          <w:bCs/>
        </w:rPr>
        <w:t>Supports amovibles</w:t>
      </w:r>
      <w:r>
        <w:rPr/>
        <w:t xml:space="preserve"> : Le stockage temporaire de données sensibles sur des supports amovibles (clés USB, disques externes) est proscrit, sauf si ces supports sont fournis par la </w:t>
      </w:r>
      <w:r>
        <w:rPr>
          <w:b/>
          <w:bCs/>
        </w:rPr>
        <w:t>DSI</w:t>
      </w:r>
      <w:r>
        <w:rPr/>
        <w:t xml:space="preserve"> et protégés par un chiffrement fort.</w:t>
      </w:r>
    </w:p>
    <w:p>
      <w:pPr>
        <w:pStyle w:val="Heading2"/>
        <w:rPr/>
      </w:pPr>
      <w:r>
        <w:rPr>
          <w:rStyle w:val="Strong"/>
          <w:b/>
          <w:bCs/>
          <w:sz w:val="24"/>
          <w:szCs w:val="24"/>
        </w:rPr>
        <w:t>5</w:t>
      </w:r>
      <w:bookmarkStart w:id="16" w:name="_Toc211595167_Copie_1_Copie_1_Copie_1_C3"/>
      <w:r>
        <w:rPr>
          <w:rStyle w:val="Strong"/>
          <w:b/>
          <w:bCs/>
          <w:sz w:val="24"/>
          <w:szCs w:val="24"/>
        </w:rPr>
        <w:t xml:space="preserve">.1.3 </w:t>
      </w:r>
      <w:bookmarkEnd w:id="16"/>
      <w:r>
        <w:rPr>
          <w:rStyle w:val="Strong"/>
          <w:b/>
          <w:bCs/>
          <w:sz w:val="24"/>
          <w:szCs w:val="24"/>
        </w:rPr>
        <w:t>Exigences dans les environnements de travail (Projets)</w:t>
      </w:r>
    </w:p>
    <w:p>
      <w:pPr>
        <w:pStyle w:val="Normal"/>
        <w:numPr>
          <w:ilvl w:val="0"/>
          <w:numId w:val="7"/>
        </w:numPr>
        <w:rPr/>
      </w:pPr>
      <w:r>
        <w:rPr>
          <w:rStyle w:val="Strong"/>
          <w:b/>
          <w:bCs/>
          <w:sz w:val="22"/>
          <w:szCs w:val="22"/>
        </w:rPr>
        <w:t>Environnements de test et développement</w:t>
      </w:r>
      <w:r>
        <w:rPr>
          <w:rStyle w:val="Strong"/>
          <w:b w:val="false"/>
          <w:bCs w:val="false"/>
          <w:sz w:val="22"/>
          <w:szCs w:val="22"/>
        </w:rPr>
        <w:t xml:space="preserve"> : Dans les environnements de développement, de test ou de staging, il est </w:t>
      </w:r>
      <w:r>
        <w:rPr>
          <w:rStyle w:val="Strong"/>
          <w:b/>
          <w:bCs/>
          <w:sz w:val="22"/>
          <w:szCs w:val="22"/>
        </w:rPr>
        <w:t>impératif de ne jamais utiliser de données de production réelles</w:t>
      </w:r>
      <w:r>
        <w:rPr>
          <w:rStyle w:val="Strong"/>
          <w:b w:val="false"/>
          <w:bCs w:val="false"/>
          <w:sz w:val="22"/>
          <w:szCs w:val="22"/>
        </w:rPr>
        <w:t xml:space="preserve"> ou de </w:t>
      </w:r>
      <w:r>
        <w:rPr>
          <w:rStyle w:val="Strong"/>
          <w:b/>
          <w:bCs/>
          <w:sz w:val="22"/>
          <w:szCs w:val="22"/>
        </w:rPr>
        <w:t>données à caractère personnel</w:t>
      </w:r>
      <w:r>
        <w:rPr>
          <w:rStyle w:val="Strong"/>
          <w:b w:val="false"/>
          <w:bCs w:val="false"/>
          <w:sz w:val="22"/>
          <w:szCs w:val="22"/>
        </w:rPr>
        <w:t xml:space="preserve"> (</w:t>
      </w:r>
      <w:r>
        <w:rPr>
          <w:rStyle w:val="Strong"/>
          <w:b/>
          <w:bCs/>
          <w:sz w:val="22"/>
          <w:szCs w:val="22"/>
        </w:rPr>
        <w:t>DCP</w:t>
      </w:r>
      <w:r>
        <w:rPr>
          <w:rStyle w:val="Strong"/>
          <w:b w:val="false"/>
          <w:bCs w:val="false"/>
          <w:sz w:val="22"/>
          <w:szCs w:val="22"/>
        </w:rPr>
        <w:t>).</w:t>
      </w:r>
    </w:p>
    <w:p>
      <w:pPr>
        <w:pStyle w:val="Normal"/>
        <w:numPr>
          <w:ilvl w:val="0"/>
          <w:numId w:val="7"/>
        </w:numPr>
        <w:rPr/>
      </w:pPr>
      <w:r>
        <w:rPr>
          <w:rStyle w:val="Strong"/>
          <w:b/>
          <w:bCs/>
          <w:sz w:val="22"/>
          <w:szCs w:val="22"/>
        </w:rPr>
        <w:t>Anonymisation/Pseudonymisation</w:t>
      </w:r>
      <w:r>
        <w:rPr>
          <w:rStyle w:val="Strong"/>
          <w:b w:val="false"/>
          <w:bCs w:val="false"/>
          <w:sz w:val="22"/>
          <w:szCs w:val="22"/>
        </w:rPr>
        <w:t xml:space="preserve"> : Lorsque l'utilisation d'un jeu de données client est nécessaire pour les tests, l'utilisateur est tenu d'appliquer des techniques d'anonymisation ou de pseudonymisation pour garantir que les personnes physiques ne puissent être identifiées.</w:t>
      </w:r>
    </w:p>
    <w:p>
      <w:pPr>
        <w:pStyle w:val="Normal"/>
        <w:numPr>
          <w:ilvl w:val="0"/>
          <w:numId w:val="7"/>
        </w:numPr>
        <w:rPr/>
      </w:pPr>
      <w:r>
        <w:rPr>
          <w:rStyle w:val="Strong"/>
          <w:b/>
          <w:bCs/>
          <w:sz w:val="22"/>
          <w:szCs w:val="22"/>
        </w:rPr>
        <w:t>Nettoyage régulier</w:t>
      </w:r>
      <w:r>
        <w:rPr>
          <w:rStyle w:val="Strong"/>
          <w:b w:val="false"/>
          <w:bCs w:val="false"/>
          <w:sz w:val="22"/>
          <w:szCs w:val="22"/>
        </w:rPr>
        <w:t xml:space="preserve"> : Les jeux de données de test doivent être purgés et supprimés après la fin du cycle de développement ou de test.</w:t>
      </w:r>
    </w:p>
    <w:p>
      <w:pPr>
        <w:pStyle w:val="Normal"/>
        <w:rPr>
          <w:rStyle w:val="Strong"/>
          <w:b w:val="false"/>
          <w:bCs w:val="false"/>
          <w:sz w:val="22"/>
          <w:szCs w:val="22"/>
        </w:rPr>
      </w:pPr>
      <w:r>
        <w:rPr>
          <w:b w:val="false"/>
          <w:bCs w:val="false"/>
          <w:sz w:val="22"/>
          <w:szCs w:val="22"/>
        </w:rPr>
      </w:r>
    </w:p>
    <w:p>
      <w:pPr>
        <w:pStyle w:val="Heading2"/>
        <w:rPr/>
      </w:pPr>
      <w:r>
        <w:rPr>
          <w:rStyle w:val="Strong"/>
          <w:b/>
          <w:bCs/>
          <w:sz w:val="28"/>
          <w:szCs w:val="28"/>
        </w:rPr>
        <w:t>5</w:t>
      </w:r>
      <w:bookmarkStart w:id="17" w:name="_Toc211595167_Copie_1_Copie_1_Copie_1_C4"/>
      <w:r>
        <w:rPr>
          <w:rStyle w:val="Strong"/>
          <w:b/>
          <w:bCs/>
          <w:sz w:val="28"/>
          <w:szCs w:val="28"/>
        </w:rPr>
        <w:t xml:space="preserve">.2 </w:t>
      </w:r>
      <w:bookmarkEnd w:id="17"/>
      <w:r>
        <w:rPr>
          <w:rStyle w:val="Strong"/>
          <w:b/>
          <w:bCs/>
          <w:sz w:val="28"/>
          <w:szCs w:val="28"/>
        </w:rPr>
        <w:t>Politique de conservation et de sauvegarde des données</w:t>
      </w:r>
    </w:p>
    <w:p>
      <w:pPr>
        <w:pStyle w:val="Normal"/>
        <w:rPr/>
      </w:pPr>
      <w:r>
        <w:rPr/>
        <w:t>La gestion de la conservation et la sauvegarde des données garantit la résilience de notre activité et le respect des obligations légales d'archivage et de destruction.</w:t>
      </w:r>
    </w:p>
    <w:p>
      <w:pPr>
        <w:pStyle w:val="Heading2"/>
        <w:rPr/>
      </w:pPr>
      <w:r>
        <w:rPr>
          <w:rStyle w:val="Strong"/>
          <w:b/>
          <w:bCs/>
          <w:sz w:val="24"/>
          <w:szCs w:val="24"/>
        </w:rPr>
        <w:t>5</w:t>
      </w:r>
      <w:bookmarkStart w:id="18" w:name="_Toc211595167_Copie_1_Copie_1_Copie_1_C5"/>
      <w:r>
        <w:rPr>
          <w:rStyle w:val="Strong"/>
          <w:b/>
          <w:bCs/>
          <w:sz w:val="24"/>
          <w:szCs w:val="24"/>
        </w:rPr>
        <w:t xml:space="preserve">.2.1 </w:t>
      </w:r>
      <w:bookmarkEnd w:id="18"/>
      <w:r>
        <w:rPr>
          <w:rStyle w:val="Strong"/>
          <w:b/>
          <w:bCs/>
          <w:sz w:val="24"/>
          <w:szCs w:val="24"/>
        </w:rPr>
        <w:t>Centralisation et responsabilité des sauvegardes</w:t>
      </w:r>
    </w:p>
    <w:p>
      <w:pPr>
        <w:pStyle w:val="Normal"/>
        <w:numPr>
          <w:ilvl w:val="0"/>
          <w:numId w:val="11"/>
        </w:numPr>
        <w:rPr/>
      </w:pPr>
      <w:r>
        <w:rPr>
          <w:b/>
        </w:rPr>
        <w:t>Responsabilité DSI :</w:t>
      </w:r>
      <w:r>
        <w:rPr/>
        <w:t xml:space="preserve"> La </w:t>
      </w:r>
      <w:r>
        <w:rPr>
          <w:b/>
        </w:rPr>
        <w:t>Direction des Systèmes d'Information (DSI)</w:t>
      </w:r>
      <w:r>
        <w:rPr/>
        <w:t xml:space="preserve"> est l'unique entité responsable de la mise en œuvre, de la gestion, de la vérification et de la maintenance des systèmes de sauvegarde de l'ensemble du Système d'Information (serveurs, bases de données, environnements Cloud critiques).</w:t>
      </w:r>
    </w:p>
    <w:p>
      <w:pPr>
        <w:pStyle w:val="Normal"/>
        <w:numPr>
          <w:ilvl w:val="0"/>
          <w:numId w:val="11"/>
        </w:numPr>
        <w:rPr/>
      </w:pPr>
      <w:r>
        <w:rPr>
          <w:b/>
        </w:rPr>
        <w:t>Vérification de la Restauration :</w:t>
      </w:r>
      <w:r>
        <w:rPr/>
        <w:t xml:space="preserve"> La DSI s'engage à tester périodiquement l'intégrité et la capacité de restauration des sauvegardes, conformément au Plan de Reprise d'Activité (PRA) de l’entreprise.</w:t>
      </w:r>
    </w:p>
    <w:p>
      <w:pPr>
        <w:pStyle w:val="Normal"/>
        <w:numPr>
          <w:ilvl w:val="0"/>
          <w:numId w:val="11"/>
        </w:numPr>
        <w:rPr/>
      </w:pPr>
      <w:r>
        <w:rPr>
          <w:b/>
        </w:rPr>
        <w:t>Durée de Conservation :</w:t>
      </w:r>
      <w:r>
        <w:rPr/>
        <w:t xml:space="preserve"> La durée de conservation des données et des archives est définie par la DSI en collaboration avec le service juridique, en respectant les impératifs légaux et les exigences contractuelles des clients.</w:t>
      </w:r>
    </w:p>
    <w:p>
      <w:pPr>
        <w:pStyle w:val="Heading2"/>
        <w:rPr/>
      </w:pPr>
      <w:r>
        <w:rPr>
          <w:rStyle w:val="Strong"/>
          <w:b/>
          <w:bCs/>
          <w:sz w:val="24"/>
          <w:szCs w:val="24"/>
        </w:rPr>
        <w:t>5</w:t>
      </w:r>
      <w:bookmarkStart w:id="19" w:name="_Toc211595167_Copie_1_Copie_1_Copie_1_C6"/>
      <w:r>
        <w:rPr>
          <w:rStyle w:val="Strong"/>
          <w:b/>
          <w:bCs/>
          <w:sz w:val="24"/>
          <w:szCs w:val="24"/>
        </w:rPr>
        <w:t xml:space="preserve">.2.2 </w:t>
      </w:r>
      <w:bookmarkEnd w:id="19"/>
      <w:r>
        <w:rPr>
          <w:rStyle w:val="Strong"/>
          <w:b/>
          <w:bCs/>
          <w:sz w:val="24"/>
          <w:szCs w:val="24"/>
        </w:rPr>
        <w:t>Interdiction des copies et sauvegardes locales</w:t>
      </w:r>
    </w:p>
    <w:p>
      <w:pPr>
        <w:pStyle w:val="Normal"/>
        <w:numPr>
          <w:ilvl w:val="0"/>
          <w:numId w:val="12"/>
        </w:numPr>
        <w:rPr/>
      </w:pPr>
      <w:r>
        <w:rPr>
          <w:b/>
        </w:rPr>
        <w:t>Principe d'Interdiction :</w:t>
      </w:r>
      <w:r>
        <w:rPr/>
        <w:t xml:space="preserve"> Les collaborateurs ne doivent </w:t>
      </w:r>
      <w:r>
        <w:rPr>
          <w:b/>
        </w:rPr>
        <w:t>en aucun cas</w:t>
      </w:r>
      <w:r>
        <w:rPr/>
        <w:t xml:space="preserve"> créer des copies locales, des archives personnelles ou des sauvegardes non sécurisées des données de l'entreprise ou des clients sur leurs postes de travail, disques durs externes ou supports non gérés par la DSI.</w:t>
      </w:r>
    </w:p>
    <w:p>
      <w:pPr>
        <w:pStyle w:val="Normal"/>
        <w:numPr>
          <w:ilvl w:val="0"/>
          <w:numId w:val="12"/>
        </w:numPr>
        <w:rPr/>
      </w:pPr>
      <w:r>
        <w:rPr>
          <w:b/>
        </w:rPr>
        <w:t>Risque :</w:t>
      </w:r>
      <w:r>
        <w:rPr/>
        <w:t xml:space="preserve"> Ces copies locales non sécurisées représentent un risque majeur en cas de vol, de défaillance matérielle (non couvert par la sauvegarde centralisée) ou d'attaque par rançongiciel, exposant l'entreprise et ses clients à une perte ou une fuite de données.</w:t>
      </w:r>
    </w:p>
    <w:p>
      <w:pPr>
        <w:pStyle w:val="Normal"/>
        <w:numPr>
          <w:ilvl w:val="0"/>
          <w:numId w:val="12"/>
        </w:numPr>
        <w:rPr/>
      </w:pPr>
      <w:r>
        <w:rPr>
          <w:b/>
        </w:rPr>
        <w:t>Stockage Unique :</w:t>
      </w:r>
      <w:r>
        <w:rPr/>
        <w:t xml:space="preserve"> Les données de travail (documents, code source) doivent être stockées </w:t>
      </w:r>
      <w:r>
        <w:rPr>
          <w:b/>
        </w:rPr>
        <w:t>exclusivement</w:t>
      </w:r>
      <w:r>
        <w:rPr/>
        <w:t xml:space="preserve"> sur les emplacements réseau (serveurs de fichiers, plateformes collaboratives) fournis par l'entreprise, seuls lieux soumis à la politique de sauvegarde centralisée et sécurisée.</w:t>
      </w:r>
    </w:p>
    <w:p>
      <w:pPr>
        <w:pStyle w:val="Normal"/>
        <w:numPr>
          <w:ilvl w:val="0"/>
          <w:numId w:val="12"/>
        </w:numPr>
        <w:rPr/>
      </w:pPr>
      <w:r>
        <w:rPr>
          <w:b/>
        </w:rPr>
        <w:t>Effacement :</w:t>
      </w:r>
      <w:r>
        <w:rPr/>
        <w:t xml:space="preserve"> L'utilisateur a l'obligation de s'assurer que les données temporaires ou les copies de travail sont effacées de son poste local dès que leur traitement est terminé et qu'elles ont été enregistrées sur le stockage sécurisé et centralisé.</w:t>
      </w:r>
    </w:p>
    <w:p>
      <w:pPr>
        <w:pStyle w:val="Normal"/>
        <w:rPr/>
      </w:pPr>
      <w:r>
        <w:rPr/>
      </w:r>
    </w:p>
    <w:p>
      <w:pPr>
        <w:pStyle w:val="Heading3"/>
        <w:rPr/>
      </w:pPr>
      <w:r>
        <w:rPr>
          <w:b/>
          <w:bCs/>
          <w:sz w:val="40"/>
          <w:szCs w:val="40"/>
        </w:rPr>
        <w:t xml:space="preserve">6. </w:t>
      </w:r>
      <w:r>
        <w:rPr>
          <w:rStyle w:val="Strong"/>
          <w:b/>
          <w:bCs/>
          <w:sz w:val="40"/>
          <w:szCs w:val="40"/>
        </w:rPr>
        <w:t>UTILISATION DU RÉSEAU INTERNET ET DES RESSOURCES EN LIGNE</w:t>
      </w:r>
    </w:p>
    <w:p>
      <w:pPr>
        <w:pStyle w:val="Heading2"/>
        <w:rPr/>
      </w:pPr>
      <w:r>
        <w:rPr>
          <w:rStyle w:val="Strong"/>
          <w:b/>
          <w:bCs/>
          <w:sz w:val="28"/>
          <w:szCs w:val="28"/>
        </w:rPr>
        <w:t>6</w:t>
      </w:r>
      <w:bookmarkStart w:id="20" w:name="_Toc211595167_Copie_1_Copie_1_Copie_1_C7"/>
      <w:r>
        <w:rPr>
          <w:rStyle w:val="Strong"/>
          <w:b/>
          <w:bCs/>
          <w:sz w:val="28"/>
          <w:szCs w:val="28"/>
        </w:rPr>
        <w:t xml:space="preserve">.1 </w:t>
      </w:r>
      <w:bookmarkEnd w:id="20"/>
      <w:r>
        <w:rPr>
          <w:rStyle w:val="Strong"/>
          <w:b/>
          <w:bCs/>
          <w:sz w:val="28"/>
          <w:szCs w:val="28"/>
        </w:rPr>
        <w:t>Principes d'utilisation et finalité professionnelle</w:t>
      </w:r>
    </w:p>
    <w:p>
      <w:pPr>
        <w:pStyle w:val="Normal"/>
        <w:rPr/>
      </w:pPr>
      <w:r>
        <w:rPr/>
        <w:t>L'accès à Internet et aux réseaux externes est un privilège accordé dans le but exclusif de faciliter l'activité professionnelle de l'utilisateur.</w:t>
      </w:r>
    </w:p>
    <w:p>
      <w:pPr>
        <w:pStyle w:val="Heading2"/>
        <w:rPr/>
      </w:pPr>
      <w:r>
        <w:rPr>
          <w:rStyle w:val="Strong"/>
          <w:b/>
          <w:bCs/>
          <w:sz w:val="24"/>
          <w:szCs w:val="24"/>
        </w:rPr>
        <w:t>6</w:t>
      </w:r>
      <w:bookmarkStart w:id="21" w:name="_Toc211595167_Copie_1_Copie_1_Copie_1_C8"/>
      <w:r>
        <w:rPr>
          <w:rStyle w:val="Strong"/>
          <w:b/>
          <w:bCs/>
          <w:sz w:val="24"/>
          <w:szCs w:val="24"/>
        </w:rPr>
        <w:t xml:space="preserve">.1.1 </w:t>
      </w:r>
      <w:bookmarkEnd w:id="21"/>
      <w:r>
        <w:rPr>
          <w:rStyle w:val="Strong"/>
          <w:b/>
          <w:bCs/>
          <w:sz w:val="24"/>
          <w:szCs w:val="24"/>
        </w:rPr>
        <w:t>Finalité professionnelle</w:t>
      </w:r>
    </w:p>
    <w:p>
      <w:pPr>
        <w:pStyle w:val="Normal"/>
        <w:numPr>
          <w:ilvl w:val="0"/>
          <w:numId w:val="13"/>
        </w:numPr>
        <w:rPr/>
      </w:pPr>
      <w:r>
        <w:rPr>
          <w:b/>
        </w:rPr>
        <w:t>Priorité absolue :</w:t>
      </w:r>
      <w:r>
        <w:rPr/>
        <w:t xml:space="preserve"> L'accès Internet mis à disposition par </w:t>
      </w:r>
      <w:r>
        <w:rPr>
          <w:b/>
        </w:rPr>
        <w:t>NETBYUS</w:t>
      </w:r>
      <w:r>
        <w:rPr/>
        <w:t xml:space="preserve"> est un outil destiné en priorité à la recherche d'informations, à l'utilisation d'applications métiers et à la communication nécessaires à l'exécution des missions.</w:t>
      </w:r>
    </w:p>
    <w:p>
      <w:pPr>
        <w:pStyle w:val="Normal"/>
        <w:numPr>
          <w:ilvl w:val="0"/>
          <w:numId w:val="13"/>
        </w:numPr>
        <w:rPr/>
      </w:pPr>
      <w:r>
        <w:rPr>
          <w:b/>
        </w:rPr>
        <w:t>Usage personnel toléré :</w:t>
      </w:r>
      <w:r>
        <w:rPr/>
        <w:t xml:space="preserve"> L'usage à des fins personnelles est toléré sous réserve qu'il soit </w:t>
      </w:r>
      <w:r>
        <w:rPr>
          <w:b/>
        </w:rPr>
        <w:t>raisonnable</w:t>
      </w:r>
      <w:r>
        <w:rPr/>
        <w:t xml:space="preserve"> en volume et en fréquence, qu'il soit effectué en dehors du temps de travail effectif ou pendant les pauses, et qu'il ne porte en aucun cas atteinte à la sécurité du SI ou à la réputation de l'entreprise.</w:t>
      </w:r>
    </w:p>
    <w:p>
      <w:pPr>
        <w:pStyle w:val="Heading2"/>
        <w:rPr/>
      </w:pPr>
      <w:r>
        <w:rPr>
          <w:rStyle w:val="Strong"/>
          <w:b/>
          <w:bCs/>
          <w:sz w:val="24"/>
          <w:szCs w:val="24"/>
        </w:rPr>
        <w:t>6</w:t>
      </w:r>
      <w:bookmarkStart w:id="22" w:name="_Toc211595167_Copie_1_Copie_1_Copie_1_C9"/>
      <w:r>
        <w:rPr>
          <w:rStyle w:val="Strong"/>
          <w:b/>
          <w:bCs/>
          <w:sz w:val="24"/>
          <w:szCs w:val="24"/>
        </w:rPr>
        <w:t xml:space="preserve">.1.2 </w:t>
      </w:r>
      <w:bookmarkEnd w:id="22"/>
      <w:r>
        <w:rPr>
          <w:rStyle w:val="Strong"/>
          <w:b/>
          <w:bCs/>
          <w:sz w:val="24"/>
          <w:szCs w:val="24"/>
        </w:rPr>
        <w:t>Restrictions de contenu et éthique</w:t>
      </w:r>
    </w:p>
    <w:p>
      <w:pPr>
        <w:pStyle w:val="Normal"/>
        <w:rPr/>
      </w:pPr>
      <w:r>
        <w:rPr/>
        <w:t xml:space="preserve">La consultation, le partage ou le téléchargement de contenus enfreignant la loi ou nuisant à l'image de l'entreprise est </w:t>
      </w:r>
      <w:r>
        <w:rPr>
          <w:b/>
        </w:rPr>
        <w:t>strictement et formellement interdit</w:t>
      </w:r>
      <w:r>
        <w:rPr/>
        <w:t>. Ceci inclut, sans s'y limiter :</w:t>
      </w:r>
    </w:p>
    <w:p>
      <w:pPr>
        <w:pStyle w:val="Normal"/>
        <w:numPr>
          <w:ilvl w:val="0"/>
          <w:numId w:val="14"/>
        </w:numPr>
        <w:rPr/>
      </w:pPr>
      <w:r>
        <w:rPr/>
        <w:t xml:space="preserve">Les sites à caractère </w:t>
      </w:r>
      <w:r>
        <w:rPr>
          <w:b/>
        </w:rPr>
        <w:t>illégal, haineux, raciste, discriminatoire</w:t>
      </w:r>
      <w:r>
        <w:rPr/>
        <w:t xml:space="preserve"> ou faisant l'apologie du terrorisme.</w:t>
      </w:r>
    </w:p>
    <w:p>
      <w:pPr>
        <w:pStyle w:val="Normal"/>
        <w:numPr>
          <w:ilvl w:val="0"/>
          <w:numId w:val="14"/>
        </w:numPr>
        <w:rPr/>
      </w:pPr>
      <w:r>
        <w:rPr/>
        <w:t xml:space="preserve">La consultation de sites à caractère </w:t>
      </w:r>
      <w:r>
        <w:rPr>
          <w:b/>
        </w:rPr>
        <w:t>pornographique ou violent</w:t>
      </w:r>
      <w:r>
        <w:rPr/>
        <w:t>.</w:t>
      </w:r>
    </w:p>
    <w:p>
      <w:pPr>
        <w:pStyle w:val="Normal"/>
        <w:numPr>
          <w:ilvl w:val="0"/>
          <w:numId w:val="14"/>
        </w:numPr>
        <w:rPr/>
      </w:pPr>
      <w:r>
        <w:rPr/>
        <w:t>L'accès et la participation excessive à des forums, réseaux sociaux ou plateformes à des fins politiques, religieuses ou personnelles portant atteinte à l'environnement de travail.</w:t>
      </w:r>
    </w:p>
    <w:p>
      <w:pPr>
        <w:pStyle w:val="Normal"/>
        <w:numPr>
          <w:ilvl w:val="0"/>
          <w:numId w:val="14"/>
        </w:numPr>
        <w:rPr/>
      </w:pPr>
      <w:r>
        <w:rPr/>
        <w:t>La diffusion d'informations confidentielles ou l'usurpation d'identité.</w:t>
      </w:r>
    </w:p>
    <w:p>
      <w:pPr>
        <w:pStyle w:val="Normal"/>
        <w:rPr/>
      </w:pPr>
      <w:r>
        <w:rPr/>
      </w:r>
    </w:p>
    <w:p>
      <w:pPr>
        <w:pStyle w:val="Heading2"/>
        <w:rPr/>
      </w:pPr>
      <w:r>
        <w:rPr>
          <w:rStyle w:val="Strong"/>
          <w:b/>
          <w:bCs/>
          <w:sz w:val="28"/>
          <w:szCs w:val="28"/>
        </w:rPr>
        <w:t>6</w:t>
      </w:r>
      <w:bookmarkStart w:id="23" w:name="_Toc211595167_Copie_1_Copie_1_Copie_1_Ca"/>
      <w:r>
        <w:rPr>
          <w:rStyle w:val="Strong"/>
          <w:b/>
          <w:bCs/>
          <w:sz w:val="28"/>
          <w:szCs w:val="28"/>
        </w:rPr>
        <w:t xml:space="preserve">.2 </w:t>
      </w:r>
      <w:bookmarkEnd w:id="23"/>
      <w:r>
        <w:rPr>
          <w:rStyle w:val="Strong"/>
          <w:b/>
          <w:bCs/>
          <w:sz w:val="28"/>
          <w:szCs w:val="28"/>
        </w:rPr>
        <w:t>Interdiction de téléchargement et de logiciels non autorisés</w:t>
      </w:r>
    </w:p>
    <w:p>
      <w:pPr>
        <w:pStyle w:val="Normal"/>
        <w:numPr>
          <w:ilvl w:val="0"/>
          <w:numId w:val="15"/>
        </w:numPr>
        <w:rPr/>
      </w:pPr>
      <w:r>
        <w:rPr>
          <w:b/>
        </w:rPr>
        <w:t>Téléchargement illégal :</w:t>
      </w:r>
      <w:r>
        <w:rPr/>
        <w:t xml:space="preserve"> Le téléchargement, le partage, la diffusion ou l'utilisation de </w:t>
      </w:r>
      <w:r>
        <w:rPr>
          <w:b/>
        </w:rPr>
        <w:t>contenus protégés par le droit d'auteur</w:t>
      </w:r>
      <w:r>
        <w:rPr/>
        <w:t xml:space="preserve"> (logiciels, musique, films, vidéos) sans licence valide est </w:t>
      </w:r>
      <w:r>
        <w:rPr>
          <w:b/>
        </w:rPr>
        <w:t>strictement prohibé</w:t>
      </w:r>
      <w:r>
        <w:rPr/>
        <w:t>. Ces activités engagent la responsabilité pénale et civile de l'entreprise.</w:t>
      </w:r>
    </w:p>
    <w:p>
      <w:pPr>
        <w:pStyle w:val="Normal"/>
        <w:numPr>
          <w:ilvl w:val="0"/>
          <w:numId w:val="15"/>
        </w:numPr>
        <w:rPr/>
      </w:pPr>
      <w:r>
        <w:rPr>
          <w:b/>
        </w:rPr>
        <w:t>Logiciels et jeux :</w:t>
      </w:r>
      <w:r>
        <w:rPr/>
        <w:t xml:space="preserve"> L'installation de logiciels personnels ou de jeux vidéo sur les équipements de l'entreprise est interdite.</w:t>
      </w:r>
    </w:p>
    <w:p>
      <w:pPr>
        <w:pStyle w:val="Normal"/>
        <w:numPr>
          <w:ilvl w:val="0"/>
          <w:numId w:val="15"/>
        </w:numPr>
        <w:rPr/>
      </w:pPr>
      <w:r>
        <w:rPr>
          <w:b/>
        </w:rPr>
        <w:t>Consommation de bande passante :</w:t>
      </w:r>
      <w:r>
        <w:rPr/>
        <w:t xml:space="preserve"> L'utilisateur doit s'abstenir de toute activité en ligne consommant inutilement une bande passante significative, de manière à ne pas dégrader la qualité du service pour les autres collaborateurs ou les applications critiques (ex. : streaming vidéo excessif).</w:t>
      </w:r>
    </w:p>
    <w:p>
      <w:pPr>
        <w:pStyle w:val="Heading2"/>
        <w:rPr/>
      </w:pPr>
      <w:r>
        <w:rPr>
          <w:rStyle w:val="Strong"/>
          <w:b/>
          <w:bCs/>
          <w:sz w:val="28"/>
          <w:szCs w:val="28"/>
        </w:rPr>
        <w:t>6</w:t>
      </w:r>
      <w:bookmarkStart w:id="24" w:name="_Toc211595167_Copie_1_Copie_1_Copie_1_Cb"/>
      <w:r>
        <w:rPr>
          <w:rStyle w:val="Strong"/>
          <w:b/>
          <w:bCs/>
          <w:sz w:val="28"/>
          <w:szCs w:val="28"/>
        </w:rPr>
        <w:t xml:space="preserve">.3 </w:t>
      </w:r>
      <w:bookmarkEnd w:id="24"/>
      <w:r>
        <w:rPr>
          <w:rStyle w:val="Strong"/>
          <w:b/>
          <w:bCs/>
          <w:sz w:val="28"/>
          <w:szCs w:val="28"/>
        </w:rPr>
        <w:t>Mesures de contrôle et de filtrage</w:t>
      </w:r>
    </w:p>
    <w:p>
      <w:pPr>
        <w:pStyle w:val="Normal"/>
        <w:numPr>
          <w:ilvl w:val="0"/>
          <w:numId w:val="16"/>
        </w:numPr>
        <w:rPr/>
      </w:pPr>
      <w:r>
        <w:rPr>
          <w:b/>
        </w:rPr>
        <w:t>Filtrage :</w:t>
      </w:r>
      <w:r>
        <w:rPr/>
        <w:t xml:space="preserve"> La DSI met en place des outils de filtrage et de proxy pour bloquer l'accès aux sites identifiés comme dangereux, illégaux ou incompatibles avec les valeurs et la sécurité de l'entreprise.</w:t>
      </w:r>
    </w:p>
    <w:p>
      <w:pPr>
        <w:pStyle w:val="Normal"/>
        <w:numPr>
          <w:ilvl w:val="0"/>
          <w:numId w:val="16"/>
        </w:numPr>
        <w:rPr/>
      </w:pPr>
      <w:r>
        <w:rPr>
          <w:b/>
        </w:rPr>
        <w:t>Journalisation (</w:t>
      </w:r>
      <w:r>
        <w:rPr>
          <w:b/>
          <w:i/>
        </w:rPr>
        <w:t>Logs</w:t>
      </w:r>
      <w:r>
        <w:rPr>
          <w:b/>
        </w:rPr>
        <w:t>) :</w:t>
      </w:r>
      <w:r>
        <w:rPr/>
        <w:t xml:space="preserve"> L'entreprise se réserve le droit de </w:t>
      </w:r>
      <w:r>
        <w:rPr>
          <w:b/>
        </w:rPr>
        <w:t>journaliser les connexions</w:t>
      </w:r>
      <w:r>
        <w:rPr/>
        <w:t xml:space="preserve"> Internet des utilisateurs (conservation des adresses IP et des domaines consultés) à des fins de maintenance, de sécurité, de défense en cas de contentieux, et pour s'assurer du respect de cette charte. Cette journalisation est effectuée dans le respect des règles légales et des recommandations de l’APDP.</w:t>
      </w:r>
    </w:p>
    <w:p>
      <w:pPr>
        <w:pStyle w:val="Normal"/>
        <w:rPr/>
      </w:pPr>
      <w:r>
        <w:rPr/>
      </w:r>
    </w:p>
    <w:p>
      <w:pPr>
        <w:pStyle w:val="Heading3"/>
        <w:rPr/>
      </w:pPr>
      <w:r>
        <w:rPr>
          <w:b/>
          <w:bCs/>
          <w:sz w:val="40"/>
          <w:szCs w:val="40"/>
        </w:rPr>
        <w:t xml:space="preserve">7. </w:t>
      </w:r>
      <w:r>
        <w:rPr>
          <w:rStyle w:val="Strong"/>
          <w:b/>
          <w:bCs/>
          <w:sz w:val="40"/>
          <w:szCs w:val="40"/>
        </w:rPr>
        <w:t>TÉLÉTRAVAIL, MOBILITÉ ET ACCÈS SÉCURISÉ À DISTANCE</w:t>
      </w:r>
    </w:p>
    <w:p>
      <w:pPr>
        <w:pStyle w:val="Normal"/>
        <w:rPr>
          <w:rStyle w:val="Strong"/>
          <w:b/>
          <w:bCs/>
          <w:sz w:val="40"/>
          <w:szCs w:val="40"/>
        </w:rPr>
      </w:pPr>
      <w:r>
        <w:rPr>
          <w:b/>
          <w:bCs/>
          <w:sz w:val="40"/>
          <w:szCs w:val="40"/>
        </w:rPr>
      </w:r>
    </w:p>
    <w:p>
      <w:pPr>
        <w:pStyle w:val="Heading2"/>
        <w:rPr/>
      </w:pPr>
      <w:r>
        <w:rPr>
          <w:rStyle w:val="Strong"/>
          <w:b/>
          <w:bCs/>
          <w:sz w:val="28"/>
          <w:szCs w:val="28"/>
        </w:rPr>
        <w:t>7</w:t>
      </w:r>
      <w:bookmarkStart w:id="25" w:name="_Toc211595167_Copie_1_Copie_1_Copie_1_Cc"/>
      <w:r>
        <w:rPr>
          <w:rStyle w:val="Strong"/>
          <w:b/>
          <w:bCs/>
          <w:sz w:val="28"/>
          <w:szCs w:val="28"/>
        </w:rPr>
        <w:t xml:space="preserve">.1 </w:t>
      </w:r>
      <w:bookmarkEnd w:id="25"/>
      <w:r>
        <w:rPr>
          <w:rStyle w:val="Strong"/>
          <w:b/>
          <w:bCs/>
          <w:sz w:val="28"/>
          <w:szCs w:val="28"/>
        </w:rPr>
        <w:t>Environnement de télétravail et exigences sécurité</w:t>
      </w:r>
    </w:p>
    <w:p>
      <w:pPr>
        <w:pStyle w:val="Normal"/>
        <w:rPr/>
      </w:pPr>
      <w:r>
        <w:rPr/>
        <w:t>L'utilisateur en situation de télétravail ou de mobilité a l'obligation de recréer un environnement sécurisé équivalent aux locaux de l'entreprise.</w:t>
      </w:r>
    </w:p>
    <w:p>
      <w:pPr>
        <w:pStyle w:val="Normal"/>
        <w:rPr/>
      </w:pPr>
      <w:r>
        <w:rPr/>
      </w:r>
    </w:p>
    <w:p>
      <w:pPr>
        <w:pStyle w:val="Normal"/>
        <w:numPr>
          <w:ilvl w:val="0"/>
          <w:numId w:val="17"/>
        </w:numPr>
        <w:rPr/>
      </w:pPr>
      <w:r>
        <w:rPr>
          <w:b/>
        </w:rPr>
        <w:t>Sécurité domiciliaire :</w:t>
      </w:r>
      <w:r>
        <w:rPr/>
        <w:t xml:space="preserve"> Le lieu de télétravail (domicile ou autre lieu autorisé) doit garantir un niveau de sécurité physique et logique suffisant. L'utilisateur est responsable de la sécurisation physique des équipements.</w:t>
      </w:r>
    </w:p>
    <w:p>
      <w:pPr>
        <w:pStyle w:val="Normal"/>
        <w:numPr>
          <w:ilvl w:val="0"/>
          <w:numId w:val="17"/>
        </w:numPr>
        <w:rPr/>
      </w:pPr>
      <w:r>
        <w:rPr>
          <w:b/>
        </w:rPr>
        <w:t>Confidentialité de l'espace :</w:t>
      </w:r>
      <w:r>
        <w:rPr/>
        <w:t xml:space="preserve"> L'utilisateur doit s'assurer que son espace de travail préserve la </w:t>
      </w:r>
      <w:r>
        <w:rPr>
          <w:b/>
        </w:rPr>
        <w:t>stricte confidentialité</w:t>
      </w:r>
      <w:r>
        <w:rPr/>
        <w:t xml:space="preserve"> des informations traitées. Les documents sensibles (physiques ou à l'écran) doivent être à l'abri des regards de tiers non autorisés (famille, colocataires, visiteurs).</w:t>
      </w:r>
    </w:p>
    <w:p>
      <w:pPr>
        <w:pStyle w:val="Normal"/>
        <w:numPr>
          <w:ilvl w:val="0"/>
          <w:numId w:val="17"/>
        </w:numPr>
        <w:rPr/>
      </w:pPr>
      <w:r>
        <w:rPr>
          <w:b/>
        </w:rPr>
        <w:t>Réseau domestique :</w:t>
      </w:r>
      <w:r>
        <w:rPr/>
        <w:t xml:space="preserve"> La connexion internet domestique utilisée pour le télétravail doit être sécurisée (mot de passe Wi-Fi fort, protocole WPA2 ou WPA3). L'utilisation de réseaux Wi-Fi publics ou ouverts pour le traitement de données confidentielles est </w:t>
      </w:r>
      <w:r>
        <w:rPr>
          <w:b/>
        </w:rPr>
        <w:t>formellement interdite</w:t>
      </w:r>
      <w:r>
        <w:rPr/>
        <w:t>.</w:t>
      </w:r>
    </w:p>
    <w:p>
      <w:pPr>
        <w:pStyle w:val="Normal"/>
        <w:numPr>
          <w:ilvl w:val="0"/>
          <w:numId w:val="17"/>
        </w:numPr>
        <w:rPr/>
      </w:pPr>
      <w:r>
        <w:rPr>
          <w:b/>
        </w:rPr>
        <w:t>Isolation des équipements :</w:t>
      </w:r>
      <w:r>
        <w:rPr/>
        <w:t xml:space="preserve"> Il est interdit de connecter des appareils personnels non gérés (consoles de jeux, téléviseurs connectés) au même réseau que le matériel professionnel lorsque celui-ci est utilisé pour des tâches sensibles.</w:t>
      </w:r>
    </w:p>
    <w:p>
      <w:pPr>
        <w:pStyle w:val="Normal"/>
        <w:rPr/>
      </w:pPr>
      <w:r>
        <w:rPr/>
      </w:r>
    </w:p>
    <w:p>
      <w:pPr>
        <w:pStyle w:val="Heading2"/>
        <w:rPr/>
      </w:pPr>
      <w:r>
        <w:rPr>
          <w:rStyle w:val="Strong"/>
          <w:b/>
          <w:bCs/>
          <w:sz w:val="28"/>
          <w:szCs w:val="28"/>
        </w:rPr>
        <w:t>7</w:t>
      </w:r>
      <w:bookmarkStart w:id="26" w:name="_Toc211595167_Copie_1_Copie_1_Copie_1_Cd"/>
      <w:r>
        <w:rPr>
          <w:rStyle w:val="Strong"/>
          <w:b/>
          <w:bCs/>
          <w:sz w:val="28"/>
          <w:szCs w:val="28"/>
        </w:rPr>
        <w:t xml:space="preserve">.2 </w:t>
      </w:r>
      <w:bookmarkEnd w:id="26"/>
      <w:r>
        <w:rPr>
          <w:rStyle w:val="Strong"/>
          <w:b/>
          <w:bCs/>
          <w:sz w:val="28"/>
          <w:szCs w:val="28"/>
        </w:rPr>
        <w:t>Exigences de connexion et d'authentification à distance</w:t>
      </w:r>
    </w:p>
    <w:p>
      <w:pPr>
        <w:pStyle w:val="Normal"/>
        <w:rPr/>
      </w:pPr>
      <w:r>
        <w:rPr/>
        <w:t>L'accès aux ressources internes et clients est strictement conditionné à l'application de mesures de sécurité renforcées.</w:t>
      </w:r>
    </w:p>
    <w:p>
      <w:pPr>
        <w:pStyle w:val="Normal"/>
        <w:numPr>
          <w:ilvl w:val="0"/>
          <w:numId w:val="18"/>
        </w:numPr>
        <w:rPr/>
      </w:pPr>
      <w:r>
        <w:rPr>
          <w:b/>
        </w:rPr>
        <w:t>VPN d'entreprise obligatoire :</w:t>
      </w:r>
      <w:r>
        <w:rPr/>
        <w:t xml:space="preserve"> Toutes les connexions vers le Système d'Information de </w:t>
      </w:r>
      <w:r>
        <w:rPr>
          <w:b/>
        </w:rPr>
        <w:t>NETBYUS</w:t>
      </w:r>
      <w:r>
        <w:rPr/>
        <w:t xml:space="preserve">, vers les serveurs de fichiers, les applications critiques, ou les environnements de production clients, doivent impérativement transiter par le </w:t>
      </w:r>
      <w:r>
        <w:rPr>
          <w:b/>
        </w:rPr>
        <w:t>Réseau privé virtuel (VPN)</w:t>
      </w:r>
      <w:r>
        <w:rPr/>
        <w:t xml:space="preserve"> fourni et géré par la DSI.</w:t>
      </w:r>
    </w:p>
    <w:p>
      <w:pPr>
        <w:pStyle w:val="Normal"/>
        <w:numPr>
          <w:ilvl w:val="1"/>
          <w:numId w:val="18"/>
        </w:numPr>
        <w:rPr/>
      </w:pPr>
      <w:r>
        <w:rPr/>
        <w:t>Le VPN assure le chiffrement du flux de données et maintient l'intégrité de la communication.</w:t>
      </w:r>
    </w:p>
    <w:p>
      <w:pPr>
        <w:pStyle w:val="Normal"/>
        <w:numPr>
          <w:ilvl w:val="0"/>
          <w:numId w:val="18"/>
        </w:numPr>
        <w:rPr/>
      </w:pPr>
      <w:r>
        <w:rPr>
          <w:b/>
        </w:rPr>
        <w:t>Authentification Multi-Facteurs (MFA) :</w:t>
      </w:r>
      <w:r>
        <w:rPr/>
        <w:t xml:space="preserve"> L'accès au VPN, ainsi qu'aux boîtes e-mails et aux plateformes de gestion des projets (Cloud, DevOps), requiert l'utilisation systématique de l'</w:t>
      </w:r>
      <w:r>
        <w:rPr>
          <w:b/>
        </w:rPr>
        <w:t>Authentification Multi-Facteurs (MFA).</w:t>
      </w:r>
    </w:p>
    <w:p>
      <w:pPr>
        <w:pStyle w:val="Heading2"/>
        <w:rPr/>
      </w:pPr>
      <w:r>
        <w:rPr>
          <w:rStyle w:val="Strong"/>
          <w:b/>
          <w:bCs/>
          <w:sz w:val="28"/>
          <w:szCs w:val="28"/>
        </w:rPr>
        <w:t>7</w:t>
      </w:r>
      <w:bookmarkStart w:id="27" w:name="_Toc211595167_Copie_1_Copie_1_Copie_1_Ce"/>
      <w:r>
        <w:rPr>
          <w:rStyle w:val="Strong"/>
          <w:b/>
          <w:bCs/>
          <w:sz w:val="28"/>
          <w:szCs w:val="28"/>
        </w:rPr>
        <w:t xml:space="preserve">.3 </w:t>
      </w:r>
      <w:bookmarkEnd w:id="27"/>
      <w:r>
        <w:rPr>
          <w:rStyle w:val="Strong"/>
          <w:b/>
          <w:bCs/>
          <w:sz w:val="28"/>
          <w:szCs w:val="28"/>
        </w:rPr>
        <w:t>Gestion du matériel et des données en mobilité</w:t>
      </w:r>
    </w:p>
    <w:p>
      <w:pPr>
        <w:pStyle w:val="Normal"/>
        <w:numPr>
          <w:ilvl w:val="0"/>
          <w:numId w:val="19"/>
        </w:numPr>
        <w:rPr/>
      </w:pPr>
      <w:r>
        <w:rPr>
          <w:b/>
        </w:rPr>
        <w:t>Stockage exclusif :</w:t>
      </w:r>
      <w:r>
        <w:rPr/>
        <w:t xml:space="preserve"> Les documents professionnels, les codes sources, les bases de données et toute information client </w:t>
      </w:r>
      <w:r>
        <w:rPr>
          <w:b/>
        </w:rPr>
        <w:t>ne doivent en aucun cas</w:t>
      </w:r>
      <w:r>
        <w:rPr/>
        <w:t xml:space="preserve"> être stockés, même temporairement, sur des appareils personnels (ordinateurs, smartphones, tablettes) ou des solutions de stockage Cloud personnelles (Dropbox, Google Drive, etc.).</w:t>
      </w:r>
    </w:p>
    <w:p>
      <w:pPr>
        <w:pStyle w:val="Normal"/>
        <w:numPr>
          <w:ilvl w:val="0"/>
          <w:numId w:val="19"/>
        </w:numPr>
        <w:rPr/>
      </w:pPr>
      <w:r>
        <w:rPr>
          <w:b/>
        </w:rPr>
        <w:t>Appareils autorisés :</w:t>
      </w:r>
      <w:r>
        <w:rPr/>
        <w:t xml:space="preserve"> Seuls les équipements fournis, configurés et inventoriés par l'entreprise sont autorisés pour l'accès aux environnements sensibles.</w:t>
      </w:r>
    </w:p>
    <w:p>
      <w:pPr>
        <w:pStyle w:val="Normal"/>
        <w:numPr>
          <w:ilvl w:val="0"/>
          <w:numId w:val="19"/>
        </w:numPr>
        <w:rPr/>
      </w:pPr>
      <w:r>
        <w:rPr>
          <w:b/>
        </w:rPr>
        <w:t>Transport du matériel :</w:t>
      </w:r>
      <w:r>
        <w:rPr/>
        <w:t xml:space="preserve"> Le matériel portable (ordinateur, smartphone) doit être transporté avec le plus grand soin. L'utilisateur est responsable de signaler immédiatement tout dommage, perte ou vol.</w:t>
      </w:r>
    </w:p>
    <w:p>
      <w:pPr>
        <w:pStyle w:val="Normal"/>
        <w:numPr>
          <w:ilvl w:val="0"/>
          <w:numId w:val="19"/>
        </w:numPr>
        <w:rPr/>
      </w:pPr>
      <w:r>
        <w:rPr>
          <w:b/>
        </w:rPr>
        <w:t>Accès aux outils d'administration :</w:t>
      </w:r>
      <w:r>
        <w:rPr/>
        <w:t xml:space="preserve"> L'accès aux outils de production, aux consoles d'administration (</w:t>
      </w:r>
      <w:r>
        <w:rPr>
          <w:i/>
        </w:rPr>
        <w:t>root</w:t>
      </w:r>
      <w:r>
        <w:rPr/>
        <w:t>), et aux systèmes d'information critiques est réservé à une liste d'utilisateurs nominativement autorisés. Ces accès sont journalisés, supervisés et requièrent des mesures d'authentification encore plus strictes.</w:t>
      </w:r>
    </w:p>
    <w:p>
      <w:pPr>
        <w:pStyle w:val="Normal"/>
        <w:rPr/>
      </w:pPr>
      <w:r>
        <w:rPr/>
      </w:r>
    </w:p>
    <w:p>
      <w:pPr>
        <w:pStyle w:val="Heading3"/>
        <w:rPr/>
      </w:pPr>
      <w:r>
        <w:rPr>
          <w:b/>
          <w:bCs/>
          <w:sz w:val="40"/>
          <w:szCs w:val="40"/>
        </w:rPr>
        <w:t xml:space="preserve">8. </w:t>
      </w:r>
      <w:r>
        <w:rPr>
          <w:rStyle w:val="Strong"/>
          <w:b/>
          <w:bCs/>
          <w:sz w:val="40"/>
          <w:szCs w:val="40"/>
        </w:rPr>
        <w:t>USAGE, ENTRETIEN ET PROPRIÉTÉ DU MATÉRIEL INFORMATIQUE</w:t>
      </w:r>
    </w:p>
    <w:p>
      <w:pPr>
        <w:pStyle w:val="Normal"/>
        <w:rPr>
          <w:rStyle w:val="Strong"/>
          <w:b/>
          <w:bCs/>
          <w:sz w:val="40"/>
          <w:szCs w:val="40"/>
        </w:rPr>
      </w:pPr>
      <w:r>
        <w:rPr>
          <w:b/>
          <w:bCs/>
          <w:sz w:val="40"/>
          <w:szCs w:val="40"/>
        </w:rPr>
      </w:r>
    </w:p>
    <w:p>
      <w:pPr>
        <w:pStyle w:val="Heading2"/>
        <w:rPr/>
      </w:pPr>
      <w:r>
        <w:rPr>
          <w:rStyle w:val="Strong"/>
          <w:b/>
          <w:bCs/>
          <w:sz w:val="28"/>
          <w:szCs w:val="28"/>
        </w:rPr>
        <w:t>8</w:t>
      </w:r>
      <w:bookmarkStart w:id="28" w:name="_Toc211595167_Copie_1_Copie_1_Copie_1_Cf"/>
      <w:r>
        <w:rPr>
          <w:rStyle w:val="Strong"/>
          <w:b/>
          <w:bCs/>
          <w:sz w:val="28"/>
          <w:szCs w:val="28"/>
        </w:rPr>
        <w:t xml:space="preserve">.1 </w:t>
      </w:r>
      <w:bookmarkEnd w:id="28"/>
      <w:r>
        <w:rPr>
          <w:rStyle w:val="Strong"/>
          <w:b/>
          <w:bCs/>
          <w:sz w:val="28"/>
          <w:szCs w:val="28"/>
        </w:rPr>
        <w:t>Propriété et devoir de soin du matériel</w:t>
      </w:r>
    </w:p>
    <w:p>
      <w:pPr>
        <w:pStyle w:val="Normal"/>
        <w:rPr/>
      </w:pPr>
      <w:r>
        <w:rPr/>
        <w:t>Le matériel informatique mis à disposition de l'utilisateur est un outil de travail dont l'intégrité est indispensable à la continuité de notre service.</w:t>
      </w:r>
    </w:p>
    <w:p>
      <w:pPr>
        <w:pStyle w:val="Normal"/>
        <w:numPr>
          <w:ilvl w:val="0"/>
          <w:numId w:val="20"/>
        </w:numPr>
        <w:rPr/>
      </w:pPr>
      <w:r>
        <w:rPr>
          <w:b/>
        </w:rPr>
        <w:t>Propriété de l'entreprise :</w:t>
      </w:r>
      <w:r>
        <w:rPr/>
        <w:t xml:space="preserve"> L'ensemble du matériel (ordinateurs portables, postes de travail fixes, écrans, périphériques, téléphones mobiles, cartes SIM, etc.) est et demeure la </w:t>
      </w:r>
      <w:r>
        <w:rPr>
          <w:b/>
        </w:rPr>
        <w:t>propriété exclusive de NETBYUS</w:t>
      </w:r>
      <w:r>
        <w:rPr/>
        <w:t>. Ce matériel est inventorié et traçable.</w:t>
      </w:r>
    </w:p>
    <w:p>
      <w:pPr>
        <w:pStyle w:val="Normal"/>
        <w:numPr>
          <w:ilvl w:val="0"/>
          <w:numId w:val="20"/>
        </w:numPr>
        <w:rPr/>
      </w:pPr>
      <w:r>
        <w:rPr>
          <w:b/>
        </w:rPr>
        <w:t>Devoir de soin et de préservation :</w:t>
      </w:r>
      <w:r>
        <w:rPr/>
        <w:t xml:space="preserve"> L'utilisateur a l'obligation d'en prendre soin et de l'utiliser conformément aux instructions du fabricant et de la </w:t>
      </w:r>
      <w:r>
        <w:rPr>
          <w:b/>
          <w:bCs/>
        </w:rPr>
        <w:t>DSI</w:t>
      </w:r>
      <w:r>
        <w:rPr/>
        <w:t>. Il doit le protéger contre les chocs, les liquides, la chaleur excessive et toute altération non autorisée.</w:t>
      </w:r>
    </w:p>
    <w:p>
      <w:pPr>
        <w:pStyle w:val="Normal"/>
        <w:numPr>
          <w:ilvl w:val="0"/>
          <w:numId w:val="20"/>
        </w:numPr>
        <w:rPr/>
      </w:pPr>
      <w:r>
        <w:rPr>
          <w:b/>
        </w:rPr>
        <w:t>Rapports de dommages :</w:t>
      </w:r>
      <w:r>
        <w:rPr/>
        <w:t xml:space="preserve"> Tout dommage, panne ou dysfonctionnement doit être signalé immédiatement à la </w:t>
      </w:r>
      <w:r>
        <w:rPr>
          <w:b/>
          <w:bCs/>
        </w:rPr>
        <w:t>DSI</w:t>
      </w:r>
      <w:r>
        <w:rPr/>
        <w:t>. L'utilisateur pourra être tenu responsable des dommages causés au matériel par négligence ou mauvaise utilisation.</w:t>
      </w:r>
    </w:p>
    <w:p>
      <w:pPr>
        <w:pStyle w:val="Heading2"/>
        <w:rPr/>
      </w:pPr>
      <w:r>
        <w:rPr>
          <w:rStyle w:val="Strong"/>
          <w:b/>
          <w:bCs/>
          <w:sz w:val="28"/>
          <w:szCs w:val="28"/>
        </w:rPr>
        <w:t>8</w:t>
      </w:r>
      <w:bookmarkStart w:id="29" w:name="_Toc211595167_Copie_1_Copie_1_Copie_1_Cg"/>
      <w:r>
        <w:rPr>
          <w:rStyle w:val="Strong"/>
          <w:b/>
          <w:bCs/>
          <w:sz w:val="28"/>
          <w:szCs w:val="28"/>
        </w:rPr>
        <w:t xml:space="preserve">.2 </w:t>
      </w:r>
      <w:bookmarkEnd w:id="29"/>
      <w:r>
        <w:rPr>
          <w:rStyle w:val="Strong"/>
          <w:b/>
          <w:bCs/>
          <w:sz w:val="28"/>
          <w:szCs w:val="28"/>
        </w:rPr>
        <w:t>Configuration technique et installation logicielle</w:t>
      </w:r>
    </w:p>
    <w:p>
      <w:pPr>
        <w:pStyle w:val="Normal"/>
        <w:rPr/>
      </w:pPr>
      <w:r>
        <w:rPr/>
        <w:t>Le maintien d'une configuration logicielle et système uniforme est un prérequis à la sécurité et à la maintenance du Système d'Information.</w:t>
      </w:r>
    </w:p>
    <w:p>
      <w:pPr>
        <w:pStyle w:val="Normal"/>
        <w:numPr>
          <w:ilvl w:val="0"/>
          <w:numId w:val="21"/>
        </w:numPr>
        <w:rPr/>
      </w:pPr>
      <w:r>
        <w:rPr>
          <w:b/>
        </w:rPr>
        <w:t>Logiciels approuvés uniquement :</w:t>
      </w:r>
      <w:r>
        <w:rPr/>
        <w:t xml:space="preserve"> L'utilisateur est </w:t>
      </w:r>
      <w:r>
        <w:rPr>
          <w:b/>
        </w:rPr>
        <w:t>strictement interdit</w:t>
      </w:r>
      <w:r>
        <w:rPr/>
        <w:t xml:space="preserve"> d'installer, de désinstaller, de mettre à jour ou de modifier tout logiciel, extension de navigateur, ou application mobile sans l'approbation préalable et documentée de la </w:t>
      </w:r>
      <w:r>
        <w:rPr>
          <w:b/>
          <w:bCs/>
        </w:rPr>
        <w:t>DSI</w:t>
      </w:r>
      <w:r>
        <w:rPr/>
        <w:t>.</w:t>
      </w:r>
    </w:p>
    <w:p>
      <w:pPr>
        <w:pStyle w:val="Normal"/>
        <w:numPr>
          <w:ilvl w:val="0"/>
          <w:numId w:val="21"/>
        </w:numPr>
        <w:rPr/>
      </w:pPr>
      <w:r>
        <w:rPr>
          <w:b/>
        </w:rPr>
        <w:t>Configurations système :</w:t>
      </w:r>
      <w:r>
        <w:rPr/>
        <w:t xml:space="preserve"> Il est interdit de modifier les configurations système critiques de l'équipement, notamment :</w:t>
      </w:r>
    </w:p>
    <w:p>
      <w:pPr>
        <w:pStyle w:val="Normal"/>
        <w:numPr>
          <w:ilvl w:val="1"/>
          <w:numId w:val="21"/>
        </w:numPr>
        <w:spacing w:before="0" w:after="45"/>
        <w:rPr/>
      </w:pPr>
      <w:r>
        <w:rPr/>
        <w:t>La désactivation des mécanismes de sécurité (antivirus, pare-feu, chiffrement du disque).</w:t>
      </w:r>
    </w:p>
    <w:p>
      <w:pPr>
        <w:pStyle w:val="Normal"/>
        <w:numPr>
          <w:ilvl w:val="1"/>
          <w:numId w:val="21"/>
        </w:numPr>
        <w:spacing w:before="0" w:after="45"/>
        <w:rPr/>
      </w:pPr>
      <w:r>
        <w:rPr/>
        <w:t>La modification des paramètres réseau ou de l'accès VPN.</w:t>
      </w:r>
    </w:p>
    <w:p>
      <w:pPr>
        <w:pStyle w:val="Normal"/>
        <w:numPr>
          <w:ilvl w:val="1"/>
          <w:numId w:val="21"/>
        </w:numPr>
        <w:spacing w:before="0" w:after="45"/>
        <w:rPr/>
      </w:pPr>
      <w:r>
        <w:rPr/>
        <w:t>La création de comptes d'utilisateur locaux non autorisés.</w:t>
      </w:r>
    </w:p>
    <w:p>
      <w:pPr>
        <w:pStyle w:val="Normal"/>
        <w:numPr>
          <w:ilvl w:val="0"/>
          <w:numId w:val="0"/>
        </w:numPr>
        <w:spacing w:before="0" w:after="45"/>
        <w:ind w:hanging="0" w:left="1080"/>
        <w:rPr/>
      </w:pPr>
      <w:r>
        <w:rPr/>
      </w:r>
    </w:p>
    <w:p>
      <w:pPr>
        <w:pStyle w:val="Normal"/>
        <w:numPr>
          <w:ilvl w:val="0"/>
          <w:numId w:val="21"/>
        </w:numPr>
        <w:rPr/>
      </w:pPr>
      <w:r>
        <w:rPr>
          <w:b/>
        </w:rPr>
        <w:t>Mises à Jour :</w:t>
      </w:r>
      <w:r>
        <w:rPr/>
        <w:t xml:space="preserve"> L'utilisateur est tenu de se conformer aux fenêtres de maintenance et d'appliquer dans les délais les mises à jour et correctifs de sécurité déployés à distance par la </w:t>
      </w:r>
      <w:r>
        <w:rPr>
          <w:b/>
          <w:bCs/>
        </w:rPr>
        <w:t>DSI</w:t>
      </w:r>
      <w:r>
        <w:rPr/>
        <w:t>.</w:t>
      </w:r>
    </w:p>
    <w:p>
      <w:pPr>
        <w:pStyle w:val="Normal"/>
        <w:rPr/>
      </w:pPr>
      <w:r>
        <w:rPr/>
      </w:r>
    </w:p>
    <w:p>
      <w:pPr>
        <w:pStyle w:val="Heading2"/>
        <w:rPr/>
      </w:pPr>
      <w:r>
        <w:rPr>
          <w:rStyle w:val="Strong"/>
          <w:b/>
          <w:bCs/>
          <w:sz w:val="28"/>
          <w:szCs w:val="28"/>
        </w:rPr>
        <w:t>8</w:t>
      </w:r>
      <w:bookmarkStart w:id="30" w:name="_Toc211595167_Copie_1_Copie_1_Copie_1_Ch"/>
      <w:r>
        <w:rPr>
          <w:rStyle w:val="Strong"/>
          <w:b/>
          <w:bCs/>
          <w:sz w:val="28"/>
          <w:szCs w:val="28"/>
        </w:rPr>
        <w:t xml:space="preserve">.2 </w:t>
      </w:r>
      <w:bookmarkEnd w:id="30"/>
      <w:r>
        <w:rPr>
          <w:rStyle w:val="Strong"/>
          <w:b/>
          <w:bCs/>
          <w:sz w:val="28"/>
          <w:szCs w:val="28"/>
        </w:rPr>
        <w:t>Restitution du matériel et des données</w:t>
      </w:r>
    </w:p>
    <w:p>
      <w:pPr>
        <w:pStyle w:val="Normal"/>
        <w:rPr/>
      </w:pPr>
      <w:r>
        <w:rPr/>
        <w:t>La procédure de départ (fin de contrat, démission, licenciement) est encadrée par des règles strictes de sécurité.</w:t>
      </w:r>
    </w:p>
    <w:p>
      <w:pPr>
        <w:pStyle w:val="Normal"/>
        <w:numPr>
          <w:ilvl w:val="0"/>
          <w:numId w:val="22"/>
        </w:numPr>
        <w:rPr/>
      </w:pPr>
      <w:r>
        <w:rPr>
          <w:b/>
        </w:rPr>
        <w:t>Obligation de restitution :</w:t>
      </w:r>
      <w:r>
        <w:rPr/>
        <w:t xml:space="preserve"> En cas de départ de l'entreprise (quelle qu'en soit la raison), l'utilisateur a l'obligation de </w:t>
      </w:r>
      <w:r>
        <w:rPr>
          <w:b/>
        </w:rPr>
        <w:t>restituer immédiatement l'intégralité du matériel</w:t>
      </w:r>
      <w:r>
        <w:rPr/>
        <w:t xml:space="preserve"> mis à sa disposition (ordinateur, téléphone, clés d'accès, etc.), dans l'état où il se trouvait lors de sa remise, hormis l'usure normale.</w:t>
      </w:r>
    </w:p>
    <w:p>
      <w:pPr>
        <w:pStyle w:val="Normal"/>
        <w:numPr>
          <w:ilvl w:val="0"/>
          <w:numId w:val="22"/>
        </w:numPr>
        <w:rPr/>
      </w:pPr>
      <w:r>
        <w:rPr>
          <w:b/>
        </w:rPr>
        <w:t>Restitution des données :</w:t>
      </w:r>
      <w:r>
        <w:rPr/>
        <w:t xml:space="preserve"> L'utilisateur doit s'assurer que toutes les données professionnelles (fichiers clients, code source, e-mails) sont stockées sur les serveurs de l'entreprise et accessibles à son manager ou à son successeur. Il est </w:t>
      </w:r>
      <w:r>
        <w:rPr>
          <w:b/>
        </w:rPr>
        <w:t>interdit de conserver</w:t>
      </w:r>
      <w:r>
        <w:rPr/>
        <w:t xml:space="preserve"> ou de supprimer des données professionnelles ou clients au moment de son départ.</w:t>
      </w:r>
    </w:p>
    <w:p>
      <w:pPr>
        <w:pStyle w:val="Normal"/>
        <w:numPr>
          <w:ilvl w:val="0"/>
          <w:numId w:val="22"/>
        </w:numPr>
        <w:rPr/>
      </w:pPr>
      <w:r>
        <w:rPr>
          <w:b/>
        </w:rPr>
        <w:t>Transfert :</w:t>
      </w:r>
      <w:r>
        <w:rPr/>
        <w:t xml:space="preserve"> La </w:t>
      </w:r>
      <w:r>
        <w:rPr>
          <w:b/>
          <w:bCs/>
        </w:rPr>
        <w:t>DSI</w:t>
      </w:r>
      <w:r>
        <w:rPr/>
        <w:t xml:space="preserve"> procédera à la désactivation des comptes et, si nécessaire, au transfert des données de l'utilisateur avant la restitution physique du matériel.</w:t>
      </w:r>
    </w:p>
    <w:p>
      <w:pPr>
        <w:pStyle w:val="Normal"/>
        <w:rPr/>
      </w:pPr>
      <w:r>
        <w:rPr/>
      </w:r>
    </w:p>
    <w:p>
      <w:pPr>
        <w:pStyle w:val="Heading3"/>
        <w:rPr/>
      </w:pPr>
      <w:r>
        <w:rPr>
          <w:b/>
          <w:bCs/>
          <w:sz w:val="40"/>
          <w:szCs w:val="40"/>
        </w:rPr>
        <w:t xml:space="preserve">9. </w:t>
      </w:r>
      <w:r>
        <w:rPr>
          <w:rStyle w:val="Strong"/>
          <w:b/>
          <w:bCs/>
          <w:sz w:val="40"/>
          <w:szCs w:val="40"/>
        </w:rPr>
        <w:t>POLITIQUE DE DÉVELOPPEMENT SÉCURISÉ ET GESTION DES ENVIRONNEMENTS TECHNIQUES</w:t>
      </w:r>
    </w:p>
    <w:p>
      <w:pPr>
        <w:pStyle w:val="Heading2"/>
        <w:rPr/>
      </w:pPr>
      <w:r>
        <w:rPr>
          <w:rStyle w:val="Strong"/>
          <w:b/>
          <w:bCs/>
          <w:sz w:val="28"/>
          <w:szCs w:val="28"/>
        </w:rPr>
        <w:t>9</w:t>
      </w:r>
      <w:bookmarkStart w:id="31" w:name="_Toc211595167_Copie_1_Copie_1_Copie_1_Ci"/>
      <w:r>
        <w:rPr>
          <w:rStyle w:val="Strong"/>
          <w:b/>
          <w:bCs/>
          <w:sz w:val="28"/>
          <w:szCs w:val="28"/>
        </w:rPr>
        <w:t xml:space="preserve">.1 </w:t>
      </w:r>
      <w:bookmarkEnd w:id="31"/>
      <w:r>
        <w:rPr>
          <w:rStyle w:val="Strong"/>
          <w:b/>
          <w:bCs/>
          <w:sz w:val="28"/>
          <w:szCs w:val="28"/>
        </w:rPr>
        <w:t>Normes de développement sécurisé (</w:t>
      </w:r>
      <w:r>
        <w:rPr>
          <w:rStyle w:val="Strong"/>
          <w:b/>
          <w:bCs/>
          <w:i/>
          <w:sz w:val="28"/>
          <w:szCs w:val="28"/>
        </w:rPr>
        <w:t>DevSecOps</w:t>
      </w:r>
      <w:r>
        <w:rPr>
          <w:rStyle w:val="Strong"/>
          <w:b/>
          <w:bCs/>
          <w:sz w:val="28"/>
          <w:szCs w:val="28"/>
        </w:rPr>
        <w:t>)</w:t>
      </w:r>
    </w:p>
    <w:p>
      <w:pPr>
        <w:pStyle w:val="Normal"/>
        <w:rPr/>
      </w:pPr>
      <w:r>
        <w:rPr/>
        <w:t>Les équipes de développement et d'architecture sont tenues d'intégrer la sécurité dès la conception de toute solution.</w:t>
      </w:r>
    </w:p>
    <w:p>
      <w:pPr>
        <w:pStyle w:val="Normal"/>
        <w:numPr>
          <w:ilvl w:val="0"/>
          <w:numId w:val="23"/>
        </w:numPr>
        <w:rPr/>
      </w:pPr>
      <w:r>
        <w:rPr>
          <w:b/>
        </w:rPr>
        <w:t>Application des bonnes pratiques :</w:t>
      </w:r>
      <w:r>
        <w:rPr/>
        <w:t xml:space="preserve"> Tous les développeurs et architectes doivent suivre les normes et les bonnes pratiques de sécurité logicielle reconnues par l'industrie pour la prévention des vulnérabilités courantes.</w:t>
      </w:r>
    </w:p>
    <w:p>
      <w:pPr>
        <w:pStyle w:val="Normal"/>
        <w:numPr>
          <w:ilvl w:val="0"/>
          <w:numId w:val="23"/>
        </w:numPr>
        <w:rPr/>
      </w:pPr>
      <w:r>
        <w:rPr>
          <w:b/>
        </w:rPr>
        <w:t>Gestion du code source :</w:t>
      </w:r>
      <w:r>
        <w:rPr/>
        <w:t xml:space="preserve"> L'utilisation d'outils de gestion de version (Git ou équivalent) est obligatoire. Le code doit être revu par un pair avant toute intégration, et le processus doit respecter les règles de </w:t>
      </w:r>
      <w:r>
        <w:rPr>
          <w:i/>
        </w:rPr>
        <w:t>branching</w:t>
      </w:r>
      <w:r>
        <w:rPr/>
        <w:t xml:space="preserve"> et de </w:t>
      </w:r>
      <w:r>
        <w:rPr>
          <w:b/>
        </w:rPr>
        <w:t>CI/CD (Intégration et Déploiement Continus)</w:t>
      </w:r>
      <w:r>
        <w:rPr/>
        <w:t xml:space="preserve"> définies par la </w:t>
      </w:r>
      <w:r>
        <w:rPr>
          <w:b/>
          <w:bCs/>
        </w:rPr>
        <w:t>DSI</w:t>
      </w:r>
      <w:r>
        <w:rPr/>
        <w:t xml:space="preserve"> et l'équipe Architecture.</w:t>
      </w:r>
    </w:p>
    <w:p>
      <w:pPr>
        <w:pStyle w:val="Normal"/>
        <w:numPr>
          <w:ilvl w:val="0"/>
          <w:numId w:val="23"/>
        </w:numPr>
        <w:rPr/>
      </w:pPr>
      <w:r>
        <w:rPr>
          <w:b/>
        </w:rPr>
        <w:t>Analyse de sécurité :</w:t>
      </w:r>
      <w:r>
        <w:rPr/>
        <w:t xml:space="preserve"> L'intégration d'outils d'analyse statique du code et dynamique dans le pipeline CI/CD est obligatoire pour détecter les vulnérabilités et les dépendances non sécurisées avant le déploiement.</w:t>
      </w:r>
    </w:p>
    <w:p>
      <w:pPr>
        <w:pStyle w:val="Heading2"/>
        <w:rPr/>
      </w:pPr>
      <w:r>
        <w:rPr>
          <w:rStyle w:val="Strong"/>
          <w:b/>
          <w:bCs/>
          <w:sz w:val="28"/>
          <w:szCs w:val="28"/>
        </w:rPr>
        <w:t>9</w:t>
      </w:r>
      <w:bookmarkStart w:id="32" w:name="_Toc211595167_Copie_1_Copie_1_Copie_1_Cj"/>
      <w:r>
        <w:rPr>
          <w:rStyle w:val="Strong"/>
          <w:b/>
          <w:bCs/>
          <w:sz w:val="28"/>
          <w:szCs w:val="28"/>
        </w:rPr>
        <w:t xml:space="preserve">.2 </w:t>
      </w:r>
      <w:bookmarkEnd w:id="32"/>
      <w:r>
        <w:rPr>
          <w:rStyle w:val="Strong"/>
          <w:b/>
          <w:bCs/>
          <w:sz w:val="28"/>
          <w:szCs w:val="28"/>
        </w:rPr>
        <w:t>Gestion des secrets, clés et identifiants</w:t>
      </w:r>
    </w:p>
    <w:p>
      <w:pPr>
        <w:pStyle w:val="Normal"/>
        <w:rPr/>
      </w:pPr>
      <w:r>
        <w:rPr/>
        <w:t>Le stockage des secrets est un point critique de sécurité qui ne tolère aucune exception.</w:t>
      </w:r>
    </w:p>
    <w:p>
      <w:pPr>
        <w:pStyle w:val="Normal"/>
        <w:numPr>
          <w:ilvl w:val="0"/>
          <w:numId w:val="24"/>
        </w:numPr>
        <w:rPr/>
      </w:pPr>
      <w:r>
        <w:rPr>
          <w:b/>
        </w:rPr>
        <w:t>Interdiction de stockage en clair :</w:t>
      </w:r>
      <w:r>
        <w:rPr/>
        <w:t xml:space="preserve"> Il est </w:t>
      </w:r>
      <w:r>
        <w:rPr>
          <w:b/>
        </w:rPr>
        <w:t>strictement interdit</w:t>
      </w:r>
      <w:r>
        <w:rPr/>
        <w:t xml:space="preserve"> de stocker tout mot de passe, clé API, certificat, identifiant de connexion, chaîne de connexion de base de données ou autre "secret" en clair dans :</w:t>
      </w:r>
    </w:p>
    <w:p>
      <w:pPr>
        <w:pStyle w:val="Normal"/>
        <w:numPr>
          <w:ilvl w:val="1"/>
          <w:numId w:val="24"/>
        </w:numPr>
        <w:spacing w:before="0" w:after="45"/>
        <w:rPr/>
      </w:pPr>
      <w:r>
        <w:rPr/>
        <w:t>Le code source.</w:t>
      </w:r>
    </w:p>
    <w:p>
      <w:pPr>
        <w:pStyle w:val="Normal"/>
        <w:numPr>
          <w:ilvl w:val="1"/>
          <w:numId w:val="24"/>
        </w:numPr>
        <w:spacing w:before="0" w:after="45"/>
        <w:rPr/>
      </w:pPr>
      <w:r>
        <w:rPr/>
        <w:t>Les fichiers de configuration (YAML, JSON, ENV).</w:t>
      </w:r>
    </w:p>
    <w:p>
      <w:pPr>
        <w:pStyle w:val="Normal"/>
        <w:numPr>
          <w:ilvl w:val="1"/>
          <w:numId w:val="24"/>
        </w:numPr>
        <w:spacing w:before="0" w:after="45"/>
        <w:rPr/>
      </w:pPr>
      <w:r>
        <w:rPr/>
        <w:t>Les dépôts de code (Git, GitLab, GitHub).</w:t>
      </w:r>
    </w:p>
    <w:p>
      <w:pPr>
        <w:pStyle w:val="Normal"/>
        <w:numPr>
          <w:ilvl w:val="1"/>
          <w:numId w:val="24"/>
        </w:numPr>
        <w:spacing w:before="0" w:after="45"/>
        <w:rPr/>
      </w:pPr>
      <w:r>
        <w:rPr/>
        <w:t>Les scripts de déploiement.</w:t>
      </w:r>
    </w:p>
    <w:p>
      <w:pPr>
        <w:pStyle w:val="Normal"/>
        <w:numPr>
          <w:ilvl w:val="0"/>
          <w:numId w:val="24"/>
        </w:numPr>
        <w:spacing w:before="0" w:after="45"/>
        <w:rPr/>
      </w:pPr>
      <w:r>
        <w:rPr>
          <w:b/>
        </w:rPr>
        <w:t>Utilisation des vaults :</w:t>
      </w:r>
      <w:r>
        <w:rPr/>
        <w:t xml:space="preserve"> Tous les secrets doivent être gérés, stockés et récupérés uniquement par des solutions de </w:t>
      </w:r>
      <w:r>
        <w:rPr>
          <w:b/>
        </w:rPr>
        <w:t>gestion de secrets centralisée</w:t>
      </w:r>
      <w:r>
        <w:rPr/>
        <w:t xml:space="preserve"> (Vault) approuvées et sécurisées par la </w:t>
      </w:r>
      <w:r>
        <w:rPr>
          <w:b/>
          <w:bCs/>
        </w:rPr>
        <w:t>DSI</w:t>
      </w:r>
      <w:r>
        <w:rPr/>
        <w:t>, avec des politiques d'accès strictement définies.</w:t>
      </w:r>
    </w:p>
    <w:p>
      <w:pPr>
        <w:pStyle w:val="Normal"/>
        <w:numPr>
          <w:ilvl w:val="0"/>
          <w:numId w:val="24"/>
        </w:numPr>
        <w:spacing w:before="0" w:after="45"/>
        <w:rPr/>
      </w:pPr>
      <w:r>
        <w:rPr>
          <w:b/>
        </w:rPr>
        <w:t>Rotation :</w:t>
      </w:r>
      <w:r>
        <w:rPr/>
        <w:t xml:space="preserve"> Les clés et les secrets doivent être soumis à une politique de rotation périodique pour minimiser le risque en cas de compromission.</w:t>
      </w:r>
    </w:p>
    <w:p>
      <w:pPr>
        <w:pStyle w:val="Heading2"/>
        <w:rPr/>
      </w:pPr>
      <w:r>
        <w:rPr>
          <w:rStyle w:val="Strong"/>
          <w:b/>
          <w:bCs/>
          <w:sz w:val="28"/>
          <w:szCs w:val="28"/>
        </w:rPr>
        <w:t>9</w:t>
      </w:r>
      <w:bookmarkStart w:id="33" w:name="_Toc211595167_Copie_1_Copie_1_Copie_1_Ck"/>
      <w:r>
        <w:rPr>
          <w:rStyle w:val="Strong"/>
          <w:b/>
          <w:bCs/>
          <w:sz w:val="28"/>
          <w:szCs w:val="28"/>
        </w:rPr>
        <w:t xml:space="preserve">.3 </w:t>
      </w:r>
      <w:bookmarkEnd w:id="33"/>
      <w:r>
        <w:rPr>
          <w:rStyle w:val="Strong"/>
          <w:b/>
          <w:bCs/>
          <w:sz w:val="28"/>
          <w:szCs w:val="28"/>
        </w:rPr>
        <w:t>Ségrégation et contrôle des environnements</w:t>
      </w:r>
    </w:p>
    <w:p>
      <w:pPr>
        <w:pStyle w:val="Normal"/>
        <w:rPr/>
      </w:pPr>
      <w:r>
        <w:rPr/>
        <w:t>La séparation des environnements garantit que les erreurs ou les incidents dans les phases de développement et de test ne puissent impacter les systèmes de production.</w:t>
      </w:r>
    </w:p>
    <w:p>
      <w:pPr>
        <w:pStyle w:val="Normal"/>
        <w:numPr>
          <w:ilvl w:val="0"/>
          <w:numId w:val="25"/>
        </w:numPr>
        <w:rPr/>
      </w:pPr>
      <w:r>
        <w:rPr>
          <w:b/>
        </w:rPr>
        <w:t>Séparation physique et logique :</w:t>
      </w:r>
      <w:r>
        <w:rPr/>
        <w:t xml:space="preserve"> Les environnements de </w:t>
      </w:r>
      <w:r>
        <w:rPr>
          <w:b/>
          <w:bCs/>
        </w:rPr>
        <w:t>dév</w:t>
      </w:r>
      <w:r>
        <w:rPr>
          <w:b/>
        </w:rPr>
        <w:t>eloppement (Dev)</w:t>
      </w:r>
      <w:r>
        <w:rPr/>
        <w:t xml:space="preserve">, de </w:t>
      </w:r>
      <w:r>
        <w:rPr>
          <w:b/>
        </w:rPr>
        <w:t>Test (Test/Staging)</w:t>
      </w:r>
      <w:r>
        <w:rPr/>
        <w:t xml:space="preserve"> et de </w:t>
      </w:r>
      <w:r>
        <w:rPr>
          <w:b/>
        </w:rPr>
        <w:t>Production (Prod)</w:t>
      </w:r>
      <w:r>
        <w:rPr/>
        <w:t xml:space="preserve"> doivent être physiquement et logiquement séparés.</w:t>
      </w:r>
    </w:p>
    <w:p>
      <w:pPr>
        <w:pStyle w:val="Normal"/>
        <w:numPr>
          <w:ilvl w:val="0"/>
          <w:numId w:val="25"/>
        </w:numPr>
        <w:rPr/>
      </w:pPr>
      <w:r>
        <w:rPr>
          <w:b/>
        </w:rPr>
        <w:t>Flux de données :</w:t>
      </w:r>
      <w:r>
        <w:rPr/>
        <w:t xml:space="preserve"> L'importation de données de Production vers des environnements inférieurs (Test ou Dev) est </w:t>
      </w:r>
      <w:r>
        <w:rPr>
          <w:b/>
        </w:rPr>
        <w:t>strictement interdite</w:t>
      </w:r>
      <w:r>
        <w:rPr/>
        <w:t xml:space="preserve"> sauf après un processus d'anonymisation ou de pseudonymisation complet et validé.</w:t>
      </w:r>
    </w:p>
    <w:p>
      <w:pPr>
        <w:pStyle w:val="Heading2"/>
        <w:rPr/>
      </w:pPr>
      <w:r>
        <w:rPr>
          <w:rStyle w:val="Strong"/>
          <w:b/>
          <w:bCs/>
          <w:sz w:val="28"/>
          <w:szCs w:val="28"/>
        </w:rPr>
        <w:t>9</w:t>
      </w:r>
      <w:bookmarkStart w:id="34" w:name="_Toc211595167_Copie_1_Copie_1_Copie_1_Cl"/>
      <w:r>
        <w:rPr>
          <w:rStyle w:val="Strong"/>
          <w:b/>
          <w:bCs/>
          <w:sz w:val="28"/>
          <w:szCs w:val="28"/>
        </w:rPr>
        <w:t xml:space="preserve">.4 </w:t>
      </w:r>
      <w:bookmarkEnd w:id="34"/>
      <w:r>
        <w:rPr>
          <w:rStyle w:val="Strong"/>
          <w:b/>
          <w:bCs/>
          <w:sz w:val="28"/>
          <w:szCs w:val="28"/>
        </w:rPr>
        <w:t>Politique de mise en production (MEP)</w:t>
      </w:r>
    </w:p>
    <w:p>
      <w:pPr>
        <w:pStyle w:val="Normal"/>
        <w:numPr>
          <w:ilvl w:val="0"/>
          <w:numId w:val="26"/>
        </w:numPr>
        <w:rPr/>
      </w:pPr>
      <w:r>
        <w:rPr>
          <w:b/>
        </w:rPr>
        <w:t>Procédure formalisée :</w:t>
      </w:r>
      <w:r>
        <w:rPr/>
        <w:t xml:space="preserve"> Toute mise en production (MEP) de code, de configuration ou d'infrastructure, qu'elle soit chez le client ou en interne, doit suivre la procédure formalisée de gestion des changements (Change Management) de l'entreprise.</w:t>
      </w:r>
    </w:p>
    <w:p>
      <w:pPr>
        <w:pStyle w:val="Normal"/>
        <w:numPr>
          <w:ilvl w:val="0"/>
          <w:numId w:val="26"/>
        </w:numPr>
        <w:rPr/>
      </w:pPr>
      <w:r>
        <w:rPr>
          <w:b/>
        </w:rPr>
        <w:t>Validation obligatoire :</w:t>
      </w:r>
      <w:r>
        <w:rPr/>
        <w:t xml:space="preserve"> Aucune MEP ne peut être effectuée sans la </w:t>
      </w:r>
      <w:r>
        <w:rPr>
          <w:b/>
        </w:rPr>
        <w:t>validation formelle et traçable</w:t>
      </w:r>
      <w:r>
        <w:rPr/>
        <w:t xml:space="preserve"> :</w:t>
      </w:r>
    </w:p>
    <w:p>
      <w:pPr>
        <w:pStyle w:val="Normal"/>
        <w:numPr>
          <w:ilvl w:val="1"/>
          <w:numId w:val="26"/>
        </w:numPr>
        <w:rPr/>
      </w:pPr>
      <w:r>
        <w:rPr/>
        <w:t>Du Chef de Projet ou du Responsable Client.</w:t>
      </w:r>
    </w:p>
    <w:p>
      <w:pPr>
        <w:pStyle w:val="Normal"/>
        <w:numPr>
          <w:ilvl w:val="1"/>
          <w:numId w:val="26"/>
        </w:numPr>
        <w:rPr/>
      </w:pPr>
      <w:r>
        <w:rPr/>
        <w:t xml:space="preserve">De la </w:t>
      </w:r>
      <w:r>
        <w:rPr>
          <w:b/>
          <w:bCs/>
        </w:rPr>
        <w:t>DSI</w:t>
      </w:r>
      <w:r>
        <w:rPr/>
        <w:t>, garant de la sécurité et de l'architecture.</w:t>
      </w:r>
    </w:p>
    <w:p>
      <w:pPr>
        <w:pStyle w:val="Normal"/>
        <w:numPr>
          <w:ilvl w:val="0"/>
          <w:numId w:val="26"/>
        </w:numPr>
        <w:rPr/>
      </w:pPr>
      <w:r>
        <w:rPr>
          <w:b/>
        </w:rPr>
        <w:t>Rollback plan :</w:t>
      </w:r>
      <w:r>
        <w:rPr/>
        <w:t xml:space="preserve"> La procédure de MEP doit obligatoirement inclure un </w:t>
      </w:r>
      <w:r>
        <w:rPr>
          <w:b/>
        </w:rPr>
        <w:t>plan de retour arrière (</w:t>
      </w:r>
      <w:r>
        <w:rPr>
          <w:b/>
          <w:i/>
        </w:rPr>
        <w:t>rollback plan</w:t>
      </w:r>
      <w:r>
        <w:rPr>
          <w:b/>
        </w:rPr>
        <w:t>)</w:t>
      </w:r>
      <w:r>
        <w:rPr/>
        <w:t xml:space="preserve"> documenté et testé, permettant d'annuler la modification rapidement en cas d'incident critique.</w:t>
      </w:r>
    </w:p>
    <w:p>
      <w:pPr>
        <w:pStyle w:val="Normal"/>
        <w:rPr/>
      </w:pPr>
      <w:r>
        <w:rPr/>
      </w:r>
    </w:p>
    <w:p>
      <w:pPr>
        <w:pStyle w:val="Heading3"/>
        <w:rPr/>
      </w:pPr>
      <w:r>
        <w:rPr>
          <w:b/>
          <w:bCs/>
          <w:sz w:val="40"/>
          <w:szCs w:val="40"/>
        </w:rPr>
        <w:t xml:space="preserve">10. </w:t>
      </w:r>
      <w:r>
        <w:rPr>
          <w:rStyle w:val="Strong"/>
          <w:b/>
          <w:bCs/>
          <w:sz w:val="40"/>
          <w:szCs w:val="40"/>
        </w:rPr>
        <w:t>PROPRIÉTÉ INTELLECTUELLE ET GESTION DES LICENCES</w:t>
      </w:r>
    </w:p>
    <w:p>
      <w:pPr>
        <w:pStyle w:val="Heading2"/>
        <w:rPr/>
      </w:pPr>
      <w:r>
        <w:rPr>
          <w:rStyle w:val="Strong"/>
          <w:b/>
          <w:bCs/>
          <w:sz w:val="28"/>
          <w:szCs w:val="28"/>
        </w:rPr>
        <w:t>10</w:t>
      </w:r>
      <w:bookmarkStart w:id="35" w:name="_Toc211595167_Copie_1_Copie_1_Copie_1_Cm"/>
      <w:r>
        <w:rPr>
          <w:rStyle w:val="Strong"/>
          <w:b/>
          <w:bCs/>
          <w:sz w:val="28"/>
          <w:szCs w:val="28"/>
        </w:rPr>
        <w:t xml:space="preserve">.1 </w:t>
      </w:r>
      <w:bookmarkEnd w:id="35"/>
      <w:r>
        <w:rPr>
          <w:rStyle w:val="Strong"/>
          <w:b/>
          <w:bCs/>
          <w:sz w:val="28"/>
          <w:szCs w:val="28"/>
        </w:rPr>
        <w:t>Cession des droits de propriété</w:t>
      </w:r>
    </w:p>
    <w:p>
      <w:pPr>
        <w:pStyle w:val="BodyText"/>
        <w:rPr/>
      </w:pPr>
      <w:r>
        <w:rPr/>
        <w:t>L'entreprise doit s'assurer que tous les livrables produits dans le cadre de l'activité professionnelle sont légalement exploitables par elle-même ou ses clients.</w:t>
      </w:r>
    </w:p>
    <w:p>
      <w:pPr>
        <w:pStyle w:val="BodyText"/>
        <w:numPr>
          <w:ilvl w:val="0"/>
          <w:numId w:val="27"/>
        </w:numPr>
        <w:rPr/>
      </w:pPr>
      <w:r>
        <w:rPr>
          <w:b/>
        </w:rPr>
        <w:t>Propriété des œuvres :</w:t>
      </w:r>
      <w:r>
        <w:rPr/>
        <w:t xml:space="preserve"> Conformément aux dispositions du code de la propriété Intellectuelle (CPI), tout développement, code source, document technique, modèle, livrable, rapport ou œuvre de l'esprit créé par l'utilisateur dans l'exécution de son contrat de travail ou de sa mission est, sauf convention contraire avec le client, la </w:t>
      </w:r>
      <w:r>
        <w:rPr>
          <w:b/>
        </w:rPr>
        <w:t>propriété pleine et entière de NETBYUS</w:t>
      </w:r>
      <w:r>
        <w:rPr/>
        <w:t>.</w:t>
      </w:r>
    </w:p>
    <w:p>
      <w:pPr>
        <w:pStyle w:val="BodyText"/>
        <w:numPr>
          <w:ilvl w:val="0"/>
          <w:numId w:val="27"/>
        </w:numPr>
        <w:rPr/>
      </w:pPr>
      <w:r>
        <w:rPr>
          <w:b/>
        </w:rPr>
        <w:t>Cession automatique :</w:t>
      </w:r>
      <w:r>
        <w:rPr/>
        <w:t xml:space="preserve"> L'utilisateur cède automatiquement à l'entreprise l'intégralité de ses droits patrimoniaux d'auteur sur ces œuvres, y compris le droit de reproduction, de représentation, d'adaptation, et de distribution.</w:t>
      </w:r>
    </w:p>
    <w:p>
      <w:pPr>
        <w:pStyle w:val="BodyText"/>
        <w:numPr>
          <w:ilvl w:val="0"/>
          <w:numId w:val="27"/>
        </w:numPr>
        <w:rPr/>
      </w:pPr>
      <w:r>
        <w:rPr>
          <w:b/>
        </w:rPr>
        <w:t>Données client :</w:t>
      </w:r>
      <w:r>
        <w:rPr/>
        <w:t xml:space="preserve"> La propriété des données traitées ou manipulées par l'utilisateur appartient au client, conformément au contrat de prestation de services. L'utilisateur n'a aucun droit d'usage, de copie ou de rétention sur ces données après la fin de la mission.</w:t>
      </w:r>
    </w:p>
    <w:p>
      <w:pPr>
        <w:pStyle w:val="Heading2"/>
        <w:rPr/>
      </w:pPr>
      <w:r>
        <w:rPr>
          <w:rStyle w:val="Strong"/>
          <w:b/>
          <w:bCs/>
          <w:sz w:val="28"/>
          <w:szCs w:val="28"/>
        </w:rPr>
        <w:t>10</w:t>
      </w:r>
      <w:bookmarkStart w:id="36" w:name="_Toc211595167_Copie_1_Copie_1_Copie_1_Cn"/>
      <w:r>
        <w:rPr>
          <w:rStyle w:val="Strong"/>
          <w:b/>
          <w:bCs/>
          <w:sz w:val="28"/>
          <w:szCs w:val="28"/>
        </w:rPr>
        <w:t xml:space="preserve">.2 </w:t>
      </w:r>
      <w:bookmarkEnd w:id="36"/>
      <w:r>
        <w:rPr>
          <w:rStyle w:val="Strong"/>
          <w:b/>
          <w:bCs/>
          <w:sz w:val="28"/>
          <w:szCs w:val="28"/>
        </w:rPr>
        <w:t>Utilisation et respect des licences logiciels</w:t>
      </w:r>
    </w:p>
    <w:p>
      <w:pPr>
        <w:pStyle w:val="Normal"/>
        <w:rPr/>
      </w:pPr>
      <w:r>
        <w:rPr/>
        <w:t xml:space="preserve">L'intégration de composants tiers (logiciels, librairies, </w:t>
      </w:r>
      <w:r>
        <w:rPr>
          <w:i/>
        </w:rPr>
        <w:t>frameworks</w:t>
      </w:r>
      <w:r>
        <w:rPr/>
        <w:t>) dans nos projets doit respecter un cadre légal strict afin de prémunir l'entreprise et ses clients contre les litiges de contrefaçon.</w:t>
      </w:r>
    </w:p>
    <w:p>
      <w:pPr>
        <w:pStyle w:val="Normal"/>
        <w:numPr>
          <w:ilvl w:val="0"/>
          <w:numId w:val="28"/>
        </w:numPr>
        <w:rPr/>
      </w:pPr>
      <w:r>
        <w:rPr>
          <w:b/>
        </w:rPr>
        <w:t>Logiciels commerciaux :</w:t>
      </w:r>
      <w:r>
        <w:rPr/>
        <w:t xml:space="preserve"> L'utilisation de tout logiciel commercial (propriétaire) doit être couverte par une </w:t>
      </w:r>
      <w:r>
        <w:rPr>
          <w:b/>
        </w:rPr>
        <w:t>licence valide et appropriée</w:t>
      </w:r>
      <w:r>
        <w:rPr/>
        <w:t xml:space="preserve"> acquise par la DSI pour l'utilisateur.</w:t>
      </w:r>
    </w:p>
    <w:p>
      <w:pPr>
        <w:pStyle w:val="Normal"/>
        <w:numPr>
          <w:ilvl w:val="0"/>
          <w:numId w:val="28"/>
        </w:numPr>
        <w:rPr/>
      </w:pPr>
      <w:r>
        <w:rPr>
          <w:b/>
        </w:rPr>
        <w:t>Licences open source :</w:t>
      </w:r>
      <w:r>
        <w:rPr/>
        <w:t xml:space="preserve"> La réutilisation de code source, de modèles, de librairies ou de </w:t>
      </w:r>
      <w:r>
        <w:rPr>
          <w:i/>
        </w:rPr>
        <w:t>frameworks</w:t>
      </w:r>
      <w:r>
        <w:rPr/>
        <w:t xml:space="preserve"> sous licence </w:t>
      </w:r>
      <w:r>
        <w:rPr>
          <w:i/>
        </w:rPr>
        <w:t>open source</w:t>
      </w:r>
      <w:r>
        <w:rPr/>
        <w:t xml:space="preserve"> (tels que MIT, Apache, GPL, etc.) est autorisée, mais elle est soumise au </w:t>
      </w:r>
      <w:r>
        <w:rPr>
          <w:b/>
        </w:rPr>
        <w:t>respect absolu des termes de la licence</w:t>
      </w:r>
      <w:r>
        <w:rPr/>
        <w:t xml:space="preserve"> associée.</w:t>
      </w:r>
    </w:p>
    <w:p>
      <w:pPr>
        <w:pStyle w:val="Normal"/>
        <w:numPr>
          <w:ilvl w:val="1"/>
          <w:numId w:val="28"/>
        </w:numPr>
        <w:rPr/>
      </w:pPr>
      <w:r>
        <w:rPr>
          <w:b/>
        </w:rPr>
        <w:t>Vérification de compatibilité :</w:t>
      </w:r>
      <w:r>
        <w:rPr/>
        <w:t xml:space="preserve"> L'équipe technique doit vérifier que la licence </w:t>
      </w:r>
      <w:r>
        <w:rPr>
          <w:i/>
        </w:rPr>
        <w:t>open source</w:t>
      </w:r>
      <w:r>
        <w:rPr/>
        <w:t xml:space="preserve"> est compatible avec le modèle de distribution du produit final (notamment éviter les licences fortement restrictives comme la GPL pour un produit propriétaire).</w:t>
      </w:r>
    </w:p>
    <w:p>
      <w:pPr>
        <w:pStyle w:val="Normal"/>
        <w:numPr>
          <w:ilvl w:val="1"/>
          <w:numId w:val="28"/>
        </w:numPr>
        <w:rPr/>
      </w:pPr>
      <w:r>
        <w:rPr>
          <w:b/>
        </w:rPr>
        <w:t>Documentation :</w:t>
      </w:r>
      <w:r>
        <w:rPr/>
        <w:t xml:space="preserve"> L'utilisateur doit documenter la liste précise de tous les composants </w:t>
      </w:r>
      <w:r>
        <w:rPr>
          <w:i/>
        </w:rPr>
        <w:t>open source</w:t>
      </w:r>
      <w:r>
        <w:rPr/>
        <w:t xml:space="preserve"> intégrés dans un livrable, y compris leur licence et leur version, afin d'assurer la traçabilité.</w:t>
      </w:r>
    </w:p>
    <w:p>
      <w:pPr>
        <w:pStyle w:val="Normal"/>
        <w:numPr>
          <w:ilvl w:val="0"/>
          <w:numId w:val="28"/>
        </w:numPr>
        <w:rPr/>
      </w:pPr>
      <w:r>
        <w:rPr>
          <w:b/>
        </w:rPr>
        <w:t>Interdiction :</w:t>
      </w:r>
      <w:r>
        <w:rPr/>
        <w:t xml:space="preserve"> Il est strictement interdit d'intégrer dans les livrables des composants dont la licence est inconnue, non vérifiée, ou qui enfreignent les droits d'auteur de tiers.</w:t>
      </w:r>
    </w:p>
    <w:p>
      <w:pPr>
        <w:pStyle w:val="Heading2"/>
        <w:rPr/>
      </w:pPr>
      <w:r>
        <w:rPr>
          <w:rStyle w:val="Strong"/>
          <w:b/>
          <w:bCs/>
          <w:sz w:val="28"/>
          <w:szCs w:val="28"/>
        </w:rPr>
        <w:t>10</w:t>
      </w:r>
      <w:bookmarkStart w:id="37" w:name="_Toc211595167_Copie_1_Copie_1_Copie_1_Cp"/>
      <w:r>
        <w:rPr>
          <w:rStyle w:val="Strong"/>
          <w:b/>
          <w:bCs/>
          <w:sz w:val="28"/>
          <w:szCs w:val="28"/>
        </w:rPr>
        <w:t xml:space="preserve">.3 </w:t>
      </w:r>
      <w:bookmarkEnd w:id="37"/>
      <w:r>
        <w:rPr>
          <w:rStyle w:val="Strong"/>
          <w:b/>
          <w:bCs/>
          <w:sz w:val="28"/>
          <w:szCs w:val="28"/>
        </w:rPr>
        <w:t>Non-divulgation et secrets d'affaires</w:t>
      </w:r>
    </w:p>
    <w:p>
      <w:pPr>
        <w:pStyle w:val="Normal"/>
        <w:numPr>
          <w:ilvl w:val="0"/>
          <w:numId w:val="29"/>
        </w:numPr>
        <w:rPr/>
      </w:pPr>
      <w:r>
        <w:rPr>
          <w:b/>
        </w:rPr>
        <w:t>Engagement de discrétion :</w:t>
      </w:r>
      <w:r>
        <w:rPr/>
        <w:t xml:space="preserve"> L'utilisateur s'engage à ne divulguer ou communiquer sous aucune forme, à l'intérieur ou à l'extérieur de l'entreprise, des informations relatives aux inventions, savoir-faire, technologies, méthodes de travail et secrets d'affaires de l'entreprise ou de ses clients.</w:t>
      </w:r>
    </w:p>
    <w:p>
      <w:pPr>
        <w:pStyle w:val="Normal"/>
        <w:numPr>
          <w:ilvl w:val="0"/>
          <w:numId w:val="29"/>
        </w:numPr>
        <w:rPr/>
      </w:pPr>
      <w:r>
        <w:rPr>
          <w:b/>
        </w:rPr>
        <w:t>Rétention :</w:t>
      </w:r>
      <w:r>
        <w:rPr/>
        <w:t xml:space="preserve"> Il est interdit de copier, retenir, ou réutiliser pour son compte personnel ou celui d'une autre entité, tout code source ou document propriétaire développé durant le contrat de travail, même après la fin de la relation contractuelle.</w:t>
      </w:r>
    </w:p>
    <w:p>
      <w:pPr>
        <w:pStyle w:val="Normal"/>
        <w:rPr/>
      </w:pPr>
      <w:r>
        <w:rPr/>
      </w:r>
    </w:p>
    <w:p>
      <w:pPr>
        <w:pStyle w:val="Heading3"/>
        <w:rPr/>
      </w:pPr>
      <w:r>
        <w:rPr>
          <w:b/>
          <w:bCs/>
          <w:sz w:val="40"/>
          <w:szCs w:val="40"/>
        </w:rPr>
        <w:t xml:space="preserve">11. </w:t>
      </w:r>
      <w:r>
        <w:rPr>
          <w:rStyle w:val="Strong"/>
          <w:b/>
          <w:bCs/>
          <w:sz w:val="40"/>
          <w:szCs w:val="40"/>
        </w:rPr>
        <w:t>CONTRÔLES, AUDITS ET TRAÇABILITÉ DU SYSTÈME D'INFORMATION</w:t>
      </w:r>
    </w:p>
    <w:p>
      <w:pPr>
        <w:pStyle w:val="Heading2"/>
        <w:rPr/>
      </w:pPr>
      <w:r>
        <w:rPr>
          <w:rStyle w:val="Strong"/>
          <w:b/>
          <w:bCs/>
          <w:sz w:val="28"/>
          <w:szCs w:val="28"/>
        </w:rPr>
        <w:t>11</w:t>
      </w:r>
      <w:bookmarkStart w:id="38" w:name="_Toc211595167_Copie_1_Copie_1_Copie_1_Cq"/>
      <w:r>
        <w:rPr>
          <w:rStyle w:val="Strong"/>
          <w:b/>
          <w:bCs/>
          <w:sz w:val="28"/>
          <w:szCs w:val="28"/>
        </w:rPr>
        <w:t xml:space="preserve">.1 </w:t>
      </w:r>
      <w:bookmarkEnd w:id="38"/>
      <w:r>
        <w:rPr>
          <w:rStyle w:val="Strong"/>
          <w:b/>
          <w:bCs/>
          <w:sz w:val="28"/>
          <w:szCs w:val="28"/>
        </w:rPr>
        <w:t>Fondements et finalités des contrôles</w:t>
      </w:r>
    </w:p>
    <w:p>
      <w:pPr>
        <w:pStyle w:val="Normal"/>
        <w:rPr/>
      </w:pPr>
      <w:r>
        <w:rPr/>
        <w:t>L'entreprise se réserve le droit d'exercer un contrôle sur l'utilisation des moyens informatiques mis à disposition, conformément aux dispositions légales en vigueur (Code du travail et jurisprudence de l’APDP).</w:t>
      </w:r>
    </w:p>
    <w:p>
      <w:pPr>
        <w:pStyle w:val="Normal"/>
        <w:numPr>
          <w:ilvl w:val="0"/>
          <w:numId w:val="30"/>
        </w:numPr>
        <w:rPr/>
      </w:pPr>
      <w:r>
        <w:rPr>
          <w:b/>
        </w:rPr>
        <w:t>Cadre légal strict :</w:t>
      </w:r>
      <w:r>
        <w:rPr/>
        <w:t xml:space="preserve"> Les mesures de contrôle et de surveillance sont mises en œuvre dans le strict respect de la vie privée des utilisateurs et des exigences de proportionnalité. Elles sont préalablement portées à la connaissance des représentants du personnel.</w:t>
      </w:r>
    </w:p>
    <w:p>
      <w:pPr>
        <w:pStyle w:val="Normal"/>
        <w:numPr>
          <w:ilvl w:val="0"/>
          <w:numId w:val="30"/>
        </w:numPr>
        <w:rPr/>
      </w:pPr>
      <w:r>
        <w:rPr>
          <w:b/>
        </w:rPr>
        <w:t>Finalités légitimes :</w:t>
      </w:r>
      <w:r>
        <w:rPr/>
        <w:t xml:space="preserve"> Les contrôles ont pour objectifs exclusifs :</w:t>
      </w:r>
    </w:p>
    <w:p>
      <w:pPr>
        <w:pStyle w:val="Normal"/>
        <w:numPr>
          <w:ilvl w:val="1"/>
          <w:numId w:val="30"/>
        </w:numPr>
        <w:rPr/>
      </w:pPr>
      <w:r>
        <w:rPr/>
        <w:t xml:space="preserve">De garantir la </w:t>
      </w:r>
      <w:r>
        <w:rPr>
          <w:b/>
        </w:rPr>
        <w:t>sécurité, l'intégrité et la disponibilité</w:t>
      </w:r>
      <w:r>
        <w:rPr/>
        <w:t xml:space="preserve"> du Système d'Information (SI).</w:t>
      </w:r>
    </w:p>
    <w:p>
      <w:pPr>
        <w:pStyle w:val="Normal"/>
        <w:numPr>
          <w:ilvl w:val="1"/>
          <w:numId w:val="30"/>
        </w:numPr>
        <w:rPr/>
      </w:pPr>
      <w:r>
        <w:rPr/>
        <w:t xml:space="preserve">D'assurer la </w:t>
      </w:r>
      <w:r>
        <w:rPr>
          <w:b/>
        </w:rPr>
        <w:t>conformité légale</w:t>
      </w:r>
      <w:r>
        <w:rPr/>
        <w:t xml:space="preserve"> de l'entreprise (lutte contre le téléchargement illégal, etc.).</w:t>
      </w:r>
    </w:p>
    <w:p>
      <w:pPr>
        <w:pStyle w:val="Normal"/>
        <w:numPr>
          <w:ilvl w:val="1"/>
          <w:numId w:val="30"/>
        </w:numPr>
        <w:rPr/>
      </w:pPr>
      <w:r>
        <w:rPr/>
        <w:t>De détecter, prévenir et réagir aux incidents de sécurité, aux fraudes ou aux abus.</w:t>
      </w:r>
    </w:p>
    <w:p>
      <w:pPr>
        <w:pStyle w:val="Normal"/>
        <w:numPr>
          <w:ilvl w:val="0"/>
          <w:numId w:val="30"/>
        </w:numPr>
        <w:rPr/>
      </w:pPr>
      <w:r>
        <w:rPr>
          <w:b/>
        </w:rPr>
        <w:t>Principe de non-espionnage :</w:t>
      </w:r>
      <w:r>
        <w:rPr/>
        <w:t xml:space="preserve"> Ces contrôles ne visent en aucun cas à espionner ou surveiller de manière illicite et permanente les activités personnelles des collaborateurs.</w:t>
      </w:r>
    </w:p>
    <w:p>
      <w:pPr>
        <w:pStyle w:val="Heading2"/>
        <w:rPr/>
      </w:pPr>
      <w:r>
        <w:rPr>
          <w:rStyle w:val="Strong"/>
          <w:b/>
          <w:bCs/>
          <w:sz w:val="28"/>
          <w:szCs w:val="28"/>
        </w:rPr>
        <w:t>11</w:t>
      </w:r>
      <w:bookmarkStart w:id="39" w:name="_Toc211595167_Copie_1_Copie_1_Copie_1_Cr"/>
      <w:r>
        <w:rPr>
          <w:rStyle w:val="Strong"/>
          <w:b/>
          <w:bCs/>
          <w:sz w:val="28"/>
          <w:szCs w:val="28"/>
        </w:rPr>
        <w:t xml:space="preserve">.2 </w:t>
      </w:r>
      <w:bookmarkEnd w:id="39"/>
      <w:r>
        <w:rPr>
          <w:rStyle w:val="Strong"/>
          <w:b/>
          <w:bCs/>
          <w:sz w:val="28"/>
          <w:szCs w:val="28"/>
        </w:rPr>
        <w:t>Mise en œuvre et périmètre de la traçabilité</w:t>
      </w:r>
    </w:p>
    <w:p>
      <w:pPr>
        <w:pStyle w:val="Normal"/>
        <w:rPr/>
      </w:pPr>
      <w:r>
        <w:rPr/>
        <w:t>La traçabilité est assurée par la journalisation des actions réalisées sur le SI.</w:t>
      </w:r>
    </w:p>
    <w:p>
      <w:pPr>
        <w:pStyle w:val="Normal"/>
        <w:numPr>
          <w:ilvl w:val="0"/>
          <w:numId w:val="31"/>
        </w:numPr>
        <w:rPr/>
      </w:pPr>
      <w:r>
        <w:rPr>
          <w:b/>
        </w:rPr>
        <w:t>Périmètre de la Traçabilité :</w:t>
      </w:r>
      <w:r>
        <w:rPr/>
        <w:t xml:space="preserve"> Sont soumis à la traçabilité, sans s'y limiter :</w:t>
      </w:r>
    </w:p>
    <w:p>
      <w:pPr>
        <w:pStyle w:val="Normal"/>
        <w:numPr>
          <w:ilvl w:val="1"/>
          <w:numId w:val="31"/>
        </w:numPr>
        <w:rPr/>
      </w:pPr>
      <w:r>
        <w:rPr/>
        <w:t xml:space="preserve">Les </w:t>
      </w:r>
      <w:r>
        <w:rPr>
          <w:b/>
        </w:rPr>
        <w:t>logs de connexion et d'authentification</w:t>
      </w:r>
      <w:r>
        <w:rPr/>
        <w:t xml:space="preserve"> (date, heure, identifiant, succès/échec).</w:t>
      </w:r>
    </w:p>
    <w:p>
      <w:pPr>
        <w:pStyle w:val="Normal"/>
        <w:numPr>
          <w:ilvl w:val="1"/>
          <w:numId w:val="31"/>
        </w:numPr>
        <w:rPr/>
      </w:pPr>
      <w:r>
        <w:rPr/>
        <w:t xml:space="preserve">Les </w:t>
      </w:r>
      <w:r>
        <w:rPr>
          <w:b/>
        </w:rPr>
        <w:t>traces réseau</w:t>
      </w:r>
      <w:r>
        <w:rPr/>
        <w:t xml:space="preserve"> (adresses IP, volume de données, domaines Internet consultés).</w:t>
      </w:r>
    </w:p>
    <w:p>
      <w:pPr>
        <w:pStyle w:val="Normal"/>
        <w:numPr>
          <w:ilvl w:val="1"/>
          <w:numId w:val="31"/>
        </w:numPr>
        <w:rPr/>
      </w:pPr>
      <w:r>
        <w:rPr/>
        <w:t>L'activité sur les serveurs, les applications critiques et les bases de données (accès, modification, suppression).</w:t>
      </w:r>
    </w:p>
    <w:p>
      <w:pPr>
        <w:pStyle w:val="Normal"/>
        <w:numPr>
          <w:ilvl w:val="1"/>
          <w:numId w:val="31"/>
        </w:numPr>
        <w:rPr/>
      </w:pPr>
      <w:r>
        <w:rPr/>
        <w:t>L'utilisation du VPN et des outils de communication.</w:t>
      </w:r>
    </w:p>
    <w:p>
      <w:pPr>
        <w:pStyle w:val="Normal"/>
        <w:numPr>
          <w:ilvl w:val="0"/>
          <w:numId w:val="31"/>
        </w:numPr>
        <w:rPr/>
      </w:pPr>
      <w:r>
        <w:rPr>
          <w:b/>
        </w:rPr>
        <w:t>Conservation des logs :</w:t>
      </w:r>
      <w:r>
        <w:rPr/>
        <w:t xml:space="preserve"> Les données de journalisation (logs) sont conservées pour une </w:t>
      </w:r>
      <w:r>
        <w:rPr>
          <w:b/>
        </w:rPr>
        <w:t>durée limitée</w:t>
      </w:r>
      <w:r>
        <w:rPr/>
        <w:t xml:space="preserve"> (définie par la DSI) afin de permettre les investigations en cas d'incident et de servir de preuve.</w:t>
      </w:r>
    </w:p>
    <w:p>
      <w:pPr>
        <w:pStyle w:val="Normal"/>
        <w:numPr>
          <w:ilvl w:val="0"/>
          <w:numId w:val="31"/>
        </w:numPr>
        <w:rPr>
          <w:color w:val="C9211E"/>
        </w:rPr>
      </w:pPr>
      <w:r>
        <w:rPr>
          <w:b/>
          <w:color w:val="C9211E"/>
        </w:rPr>
        <w:t>Accès aux données professionnelles :</w:t>
      </w:r>
      <w:r>
        <w:rPr>
          <w:color w:val="C9211E"/>
        </w:rPr>
        <w:t xml:space="preserve"> Les fichiers, documents, et communications présumés professionnels (y compris les e-mails non clairement identifiés comme personnels) peuvent être consultés par l'employeur en cas de besoin légitime, sans nécessiter la présence du salarié.</w:t>
      </w:r>
    </w:p>
    <w:p>
      <w:pPr>
        <w:pStyle w:val="Heading2"/>
        <w:rPr/>
      </w:pPr>
      <w:r>
        <w:rPr>
          <w:rStyle w:val="Strong"/>
          <w:b/>
          <w:bCs/>
          <w:sz w:val="28"/>
          <w:szCs w:val="28"/>
        </w:rPr>
        <w:t>11</w:t>
      </w:r>
      <w:bookmarkStart w:id="40" w:name="_Toc211595167_Copie_1_Copie_1_Copie_1_Cs"/>
      <w:r>
        <w:rPr>
          <w:rStyle w:val="Strong"/>
          <w:b/>
          <w:bCs/>
          <w:sz w:val="28"/>
          <w:szCs w:val="28"/>
        </w:rPr>
        <w:t xml:space="preserve">.2 </w:t>
      </w:r>
      <w:bookmarkEnd w:id="40"/>
      <w:r>
        <w:rPr>
          <w:rStyle w:val="Strong"/>
          <w:b/>
          <w:bCs/>
          <w:sz w:val="28"/>
          <w:szCs w:val="28"/>
        </w:rPr>
        <w:t>Contrôle des fichiers et de la messagerie personnelle</w:t>
      </w:r>
    </w:p>
    <w:p>
      <w:pPr>
        <w:pStyle w:val="Normal"/>
        <w:numPr>
          <w:ilvl w:val="0"/>
          <w:numId w:val="32"/>
        </w:numPr>
        <w:rPr/>
      </w:pPr>
      <w:r>
        <w:rPr>
          <w:b/>
        </w:rPr>
        <w:t>Identification des fichiers personnels :</w:t>
      </w:r>
      <w:r>
        <w:rPr/>
        <w:t xml:space="preserve"> L'utilisateur a la possibilité de créer un répertoire clairement nommé </w:t>
      </w:r>
      <w:r>
        <w:rPr>
          <w:b/>
        </w:rPr>
        <w:t>"PERSONNEL"</w:t>
      </w:r>
      <w:r>
        <w:rPr/>
        <w:t xml:space="preserve"> sur son poste de travail ou son espace de stockage. Les fichiers stockés dans cet espace sont présumés personnels et ne peuvent être consultés par l'employeur qu'en présence de l'utilisateur ou après l'avoir dûment averti et convoqué, sauf urgence ou risque majeur avéré pour l'entreprise.</w:t>
      </w:r>
    </w:p>
    <w:p>
      <w:pPr>
        <w:pStyle w:val="Normal"/>
        <w:numPr>
          <w:ilvl w:val="0"/>
          <w:numId w:val="32"/>
        </w:numPr>
        <w:rPr/>
      </w:pPr>
      <w:r>
        <w:rPr>
          <w:b/>
        </w:rPr>
        <w:t>Messagerie personnelle :</w:t>
      </w:r>
      <w:r>
        <w:rPr/>
        <w:t xml:space="preserve"> Les e-mails clairement identifiés dans l'objet ou le dossier comme étant "PERSONNEL" bénéficient de la même protection que les fichiers personnels.</w:t>
      </w:r>
    </w:p>
    <w:p>
      <w:pPr>
        <w:pStyle w:val="Normal"/>
        <w:numPr>
          <w:ilvl w:val="0"/>
          <w:numId w:val="32"/>
        </w:numPr>
        <w:rPr/>
      </w:pPr>
      <w:r>
        <w:rPr>
          <w:b/>
        </w:rPr>
        <w:t>Audit d'installation :</w:t>
      </w:r>
      <w:r>
        <w:rPr/>
        <w:t xml:space="preserve"> L'entreprise se réserve le droit de procéder à des audits réguliers pour vérifier la conformité des équipements (absence de logiciels non autorisés, activation des mécanismes de sécurité).</w:t>
      </w:r>
    </w:p>
    <w:p>
      <w:pPr>
        <w:pStyle w:val="Normal"/>
        <w:rPr/>
      </w:pPr>
      <w:r>
        <w:rPr/>
      </w:r>
    </w:p>
    <w:p>
      <w:pPr>
        <w:pStyle w:val="Heading3"/>
        <w:rPr>
          <w:rStyle w:val="Strong"/>
          <w:b/>
          <w:bCs/>
          <w:sz w:val="40"/>
          <w:szCs w:val="40"/>
        </w:rPr>
      </w:pPr>
      <w:r>
        <w:rPr>
          <w:b/>
          <w:bCs/>
          <w:sz w:val="40"/>
          <w:szCs w:val="40"/>
        </w:rPr>
        <w:t>1</w:t>
      </w:r>
      <w:r>
        <w:rPr>
          <w:b/>
          <w:bCs/>
          <w:sz w:val="40"/>
          <w:szCs w:val="40"/>
        </w:rPr>
        <w:t>2</w:t>
      </w:r>
      <w:r>
        <w:rPr>
          <w:b/>
          <w:bCs/>
          <w:sz w:val="40"/>
          <w:szCs w:val="40"/>
        </w:rPr>
        <w:t xml:space="preserve">. </w:t>
      </w:r>
      <w:r>
        <w:rPr>
          <w:rStyle w:val="Strong"/>
          <w:b/>
          <w:bCs/>
          <w:sz w:val="40"/>
          <w:szCs w:val="40"/>
        </w:rPr>
        <w:t>SANCTIONS ET DISPOSITIONS FINALES</w:t>
      </w:r>
    </w:p>
    <w:p>
      <w:pPr>
        <w:pStyle w:val="Normal"/>
        <w:rPr>
          <w:rStyle w:val="Strong"/>
          <w:b/>
          <w:bCs/>
          <w:sz w:val="40"/>
          <w:szCs w:val="40"/>
        </w:rPr>
      </w:pPr>
      <w:r>
        <w:rPr/>
      </w:r>
    </w:p>
    <w:p>
      <w:pPr>
        <w:pStyle w:val="Heading2"/>
        <w:rPr/>
      </w:pPr>
      <w:r>
        <w:rPr>
          <w:rStyle w:val="Strong"/>
          <w:b/>
          <w:bCs/>
          <w:sz w:val="28"/>
          <w:szCs w:val="28"/>
        </w:rPr>
        <w:t>1</w:t>
      </w:r>
      <w:r>
        <w:rPr>
          <w:rStyle w:val="Strong"/>
          <w:b/>
          <w:bCs/>
          <w:sz w:val="28"/>
          <w:szCs w:val="28"/>
        </w:rPr>
        <w:t>2</w:t>
      </w:r>
      <w:bookmarkStart w:id="41" w:name="_Toc211595167_Copie_1_Copie_1_Copie_1_Ct"/>
      <w:r>
        <w:rPr>
          <w:rStyle w:val="Strong"/>
          <w:b/>
          <w:bCs/>
          <w:sz w:val="28"/>
          <w:szCs w:val="28"/>
        </w:rPr>
        <w:t>.</w:t>
      </w:r>
      <w:r>
        <w:rPr>
          <w:rStyle w:val="Strong"/>
          <w:b/>
          <w:bCs/>
          <w:sz w:val="28"/>
          <w:szCs w:val="28"/>
        </w:rPr>
        <w:t>1</w:t>
      </w:r>
      <w:r>
        <w:rPr>
          <w:rStyle w:val="Strong"/>
          <w:b/>
          <w:bCs/>
          <w:sz w:val="28"/>
          <w:szCs w:val="28"/>
        </w:rPr>
        <w:t xml:space="preserve"> </w:t>
      </w:r>
      <w:bookmarkEnd w:id="41"/>
      <w:r>
        <w:rPr>
          <w:rStyle w:val="Strong"/>
          <w:b/>
          <w:bCs/>
          <w:sz w:val="28"/>
          <w:szCs w:val="28"/>
        </w:rPr>
        <w:t xml:space="preserve">Sanctions </w:t>
      </w:r>
      <w:r>
        <w:rPr>
          <w:rStyle w:val="Strong"/>
          <w:b/>
          <w:bCs/>
          <w:sz w:val="28"/>
          <w:szCs w:val="28"/>
        </w:rPr>
        <w:t>d</w:t>
      </w:r>
      <w:r>
        <w:rPr>
          <w:rStyle w:val="Strong"/>
          <w:b/>
          <w:bCs/>
          <w:sz w:val="28"/>
          <w:szCs w:val="28"/>
        </w:rPr>
        <w:t>isciplinaires</w:t>
      </w:r>
    </w:p>
    <w:p>
      <w:pPr>
        <w:pStyle w:val="Normal"/>
        <w:rPr/>
      </w:pPr>
      <w:r>
        <w:rPr/>
        <w:t xml:space="preserve">Tout manquement aux dispositions de la présente charte sera considéré comme une </w:t>
      </w:r>
      <w:r>
        <w:rPr>
          <w:b/>
        </w:rPr>
        <w:t>faute professionnelle</w:t>
      </w:r>
      <w:r>
        <w:rPr/>
        <w:t xml:space="preserve"> engageant la responsabilité de l'utilisateur. L'entreprise appliquera l'échelle des sanctions disciplinaires prévue par le Règlement Intérieur, pouvant aller de l'avertissement au </w:t>
      </w:r>
      <w:r>
        <w:rPr>
          <w:b/>
        </w:rPr>
        <w:t>licenciement pour faute grave</w:t>
      </w:r>
      <w:r>
        <w:rPr/>
        <w:t>, selon la gravité de l'infraction, l'existence d'une intention de nuire et l'éventuel préjudice causé.</w:t>
      </w:r>
    </w:p>
    <w:p>
      <w:pPr>
        <w:pStyle w:val="Heading2"/>
        <w:rPr/>
      </w:pPr>
      <w:r>
        <w:rPr>
          <w:rStyle w:val="Strong"/>
          <w:b/>
          <w:bCs/>
          <w:sz w:val="28"/>
          <w:szCs w:val="28"/>
        </w:rPr>
        <w:t>1</w:t>
      </w:r>
      <w:r>
        <w:rPr>
          <w:rStyle w:val="Strong"/>
          <w:b/>
          <w:bCs/>
          <w:sz w:val="28"/>
          <w:szCs w:val="28"/>
        </w:rPr>
        <w:t>2</w:t>
      </w:r>
      <w:bookmarkStart w:id="42" w:name="_Toc211595167_Copie_1_Copie_1_Copie_1_Cu"/>
      <w:r>
        <w:rPr>
          <w:rStyle w:val="Strong"/>
          <w:b/>
          <w:bCs/>
          <w:sz w:val="28"/>
          <w:szCs w:val="28"/>
        </w:rPr>
        <w:t>.</w:t>
      </w:r>
      <w:r>
        <w:rPr>
          <w:rStyle w:val="Strong"/>
          <w:b/>
          <w:bCs/>
          <w:sz w:val="28"/>
          <w:szCs w:val="28"/>
        </w:rPr>
        <w:t>2</w:t>
      </w:r>
      <w:r>
        <w:rPr>
          <w:rStyle w:val="Strong"/>
          <w:b/>
          <w:bCs/>
          <w:sz w:val="28"/>
          <w:szCs w:val="28"/>
        </w:rPr>
        <w:t xml:space="preserve"> </w:t>
      </w:r>
      <w:bookmarkEnd w:id="42"/>
      <w:r>
        <w:rPr>
          <w:rStyle w:val="Strong"/>
          <w:b/>
          <w:bCs/>
          <w:sz w:val="28"/>
          <w:szCs w:val="28"/>
        </w:rPr>
        <w:t xml:space="preserve">Poursuites </w:t>
      </w:r>
      <w:r>
        <w:rPr>
          <w:rStyle w:val="Strong"/>
          <w:b/>
          <w:bCs/>
          <w:sz w:val="28"/>
          <w:szCs w:val="28"/>
        </w:rPr>
        <w:t>j</w:t>
      </w:r>
      <w:r>
        <w:rPr>
          <w:rStyle w:val="Strong"/>
          <w:b/>
          <w:bCs/>
          <w:sz w:val="28"/>
          <w:szCs w:val="28"/>
        </w:rPr>
        <w:t>udiciaires</w:t>
      </w:r>
    </w:p>
    <w:p>
      <w:pPr>
        <w:pStyle w:val="Normal"/>
        <w:rPr/>
      </w:pPr>
      <w:r>
        <w:rPr/>
        <w:t xml:space="preserve">En cas de violation grave entraînant un préjudice matériel ou de réputation (exemples : vol de données, fraude informatique, violation de </w:t>
      </w:r>
      <w:r>
        <w:rPr/>
        <w:t>données à caractère personnel</w:t>
      </w:r>
      <w:r>
        <w:rPr/>
        <w:t xml:space="preserve">, téléchargement illégal), l'entreprise se réserve le droit d'engager des </w:t>
      </w:r>
      <w:r>
        <w:rPr>
          <w:b/>
        </w:rPr>
        <w:t>poursuites judiciaires</w:t>
      </w:r>
      <w:r>
        <w:rPr/>
        <w:t xml:space="preserve"> (civiles ou pénales) contre l'auteur du manquement.</w:t>
      </w:r>
    </w:p>
    <w:p>
      <w:pPr>
        <w:pStyle w:val="Heading2"/>
        <w:rPr/>
      </w:pPr>
      <w:r>
        <w:rPr>
          <w:rStyle w:val="Strong"/>
          <w:b/>
          <w:bCs/>
          <w:sz w:val="28"/>
          <w:szCs w:val="28"/>
        </w:rPr>
        <w:t>1</w:t>
      </w:r>
      <w:r>
        <w:rPr>
          <w:rStyle w:val="Strong"/>
          <w:b/>
          <w:bCs/>
          <w:sz w:val="28"/>
          <w:szCs w:val="28"/>
        </w:rPr>
        <w:t>2</w:t>
      </w:r>
      <w:bookmarkStart w:id="43" w:name="_Toc211595167_Copie_1_Copie_1_Copie_1_Cv"/>
      <w:r>
        <w:rPr>
          <w:rStyle w:val="Strong"/>
          <w:b/>
          <w:bCs/>
          <w:sz w:val="28"/>
          <w:szCs w:val="28"/>
        </w:rPr>
        <w:t>.</w:t>
      </w:r>
      <w:r>
        <w:rPr>
          <w:rStyle w:val="Strong"/>
          <w:b/>
          <w:bCs/>
          <w:sz w:val="28"/>
          <w:szCs w:val="28"/>
        </w:rPr>
        <w:t>3</w:t>
      </w:r>
      <w:r>
        <w:rPr>
          <w:rStyle w:val="Strong"/>
          <w:b/>
          <w:bCs/>
          <w:sz w:val="28"/>
          <w:szCs w:val="28"/>
        </w:rPr>
        <w:t xml:space="preserve"> </w:t>
      </w:r>
      <w:bookmarkEnd w:id="43"/>
      <w:r>
        <w:rPr>
          <w:rStyle w:val="Strong"/>
          <w:b/>
          <w:bCs/>
          <w:sz w:val="28"/>
          <w:szCs w:val="28"/>
        </w:rPr>
        <w:t xml:space="preserve">Entrée en </w:t>
      </w:r>
      <w:r>
        <w:rPr>
          <w:rStyle w:val="Strong"/>
          <w:b/>
          <w:bCs/>
          <w:sz w:val="28"/>
          <w:szCs w:val="28"/>
        </w:rPr>
        <w:t>v</w:t>
      </w:r>
      <w:r>
        <w:rPr>
          <w:rStyle w:val="Strong"/>
          <w:b/>
          <w:bCs/>
          <w:sz w:val="28"/>
          <w:szCs w:val="28"/>
        </w:rPr>
        <w:t xml:space="preserve">igueur et </w:t>
      </w:r>
      <w:r>
        <w:rPr>
          <w:rStyle w:val="Strong"/>
          <w:b/>
          <w:bCs/>
          <w:sz w:val="28"/>
          <w:szCs w:val="28"/>
        </w:rPr>
        <w:t>r</w:t>
      </w:r>
      <w:r>
        <w:rPr>
          <w:rStyle w:val="Strong"/>
          <w:b/>
          <w:bCs/>
          <w:sz w:val="28"/>
          <w:szCs w:val="28"/>
        </w:rPr>
        <w:t>évision</w:t>
      </w:r>
    </w:p>
    <w:p>
      <w:pPr>
        <w:pStyle w:val="Normal"/>
        <w:rPr/>
      </w:pPr>
      <w:r>
        <w:rPr/>
        <w:t xml:space="preserve">La présente charte entre en vigueur à la date indiquée en tête du document. Elle est révisée périodiquement (au moins tous les deux ans) par la </w:t>
      </w:r>
      <w:r>
        <w:rPr>
          <w:b/>
          <w:bCs/>
        </w:rPr>
        <w:t>DSI</w:t>
      </w:r>
      <w:r>
        <w:rPr/>
        <w:t xml:space="preserve"> pour s'adapter aux évolutions technologiques et réglementaires.</w:t>
      </w:r>
    </w:p>
    <w:p>
      <w:pPr>
        <w:pStyle w:val="Heading2"/>
        <w:rPr/>
      </w:pPr>
      <w:r>
        <w:rPr>
          <w:rStyle w:val="Strong"/>
          <w:b/>
          <w:bCs/>
          <w:sz w:val="28"/>
          <w:szCs w:val="28"/>
        </w:rPr>
        <w:t>1</w:t>
      </w:r>
      <w:r>
        <w:rPr>
          <w:rStyle w:val="Strong"/>
          <w:b/>
          <w:bCs/>
          <w:sz w:val="28"/>
          <w:szCs w:val="28"/>
        </w:rPr>
        <w:t>2</w:t>
      </w:r>
      <w:bookmarkStart w:id="44" w:name="_Toc211595167_Copie_1_Copie_1_Copie_1_Cw"/>
      <w:r>
        <w:rPr>
          <w:rStyle w:val="Strong"/>
          <w:b/>
          <w:bCs/>
          <w:sz w:val="28"/>
          <w:szCs w:val="28"/>
        </w:rPr>
        <w:t>.</w:t>
      </w:r>
      <w:r>
        <w:rPr>
          <w:rStyle w:val="Strong"/>
          <w:b/>
          <w:bCs/>
          <w:sz w:val="28"/>
          <w:szCs w:val="28"/>
        </w:rPr>
        <w:t>3</w:t>
      </w:r>
      <w:r>
        <w:rPr>
          <w:rStyle w:val="Strong"/>
          <w:b/>
          <w:bCs/>
          <w:sz w:val="28"/>
          <w:szCs w:val="28"/>
        </w:rPr>
        <w:t xml:space="preserve"> </w:t>
      </w:r>
      <w:bookmarkEnd w:id="44"/>
      <w:r>
        <w:rPr>
          <w:rStyle w:val="Strong"/>
          <w:b/>
          <w:bCs/>
          <w:sz w:val="28"/>
          <w:szCs w:val="28"/>
        </w:rPr>
        <w:t xml:space="preserve">Reconnaissance et </w:t>
      </w:r>
      <w:r>
        <w:rPr>
          <w:rStyle w:val="Strong"/>
          <w:b/>
          <w:bCs/>
          <w:sz w:val="28"/>
          <w:szCs w:val="28"/>
        </w:rPr>
        <w:t>e</w:t>
      </w:r>
      <w:r>
        <w:rPr>
          <w:rStyle w:val="Strong"/>
          <w:b/>
          <w:bCs/>
          <w:sz w:val="28"/>
          <w:szCs w:val="28"/>
        </w:rPr>
        <w:t>ngagement de l'</w:t>
      </w:r>
      <w:r>
        <w:rPr>
          <w:rStyle w:val="Strong"/>
          <w:b/>
          <w:bCs/>
          <w:sz w:val="28"/>
          <w:szCs w:val="28"/>
        </w:rPr>
        <w:t>u</w:t>
      </w:r>
      <w:r>
        <w:rPr>
          <w:rStyle w:val="Strong"/>
          <w:b/>
          <w:bCs/>
          <w:sz w:val="28"/>
          <w:szCs w:val="28"/>
        </w:rPr>
        <w:t>tilisateur</w:t>
      </w:r>
    </w:p>
    <w:p>
      <w:pPr>
        <w:pStyle w:val="Normal"/>
        <w:rPr/>
      </w:pPr>
      <w:r>
        <w:rPr/>
        <w:t>Je soussigné(e), ………………………..., déclare avoir pris connaissance de l'intégralité des 1</w:t>
      </w:r>
      <w:r>
        <w:rPr/>
        <w:t>2</w:t>
      </w:r>
      <w:r>
        <w:rPr/>
        <w:t xml:space="preserve"> chapitres de la Charte Informatique et de Sécurité Numérique de </w:t>
      </w:r>
      <w:r>
        <w:rPr>
          <w:b/>
          <w:bCs/>
        </w:rPr>
        <w:t>NETBYUS</w:t>
      </w:r>
      <w:r>
        <w:rPr/>
        <w:t xml:space="preserve"> et m'engage à en respecter l'ensemble des règles.</w:t>
      </w:r>
    </w:p>
    <w:p>
      <w:pPr>
        <w:pStyle w:val="Normal"/>
        <w:rPr/>
      </w:pPr>
      <w:r>
        <w:rPr/>
      </w:r>
    </w:p>
    <w:p>
      <w:pPr>
        <w:pStyle w:val="BodyText"/>
        <w:rPr/>
      </w:pPr>
      <w:r>
        <w:rPr>
          <w:b/>
        </w:rPr>
        <w:t>Fait à :</w:t>
      </w:r>
      <w:r>
        <w:rPr/>
        <w:t xml:space="preserve"> </w:t>
      </w:r>
      <w:r>
        <w:rPr>
          <w:b/>
        </w:rPr>
        <w:t>………………...</w:t>
      </w:r>
      <w:r>
        <w:rPr/>
        <w:t xml:space="preserve"> </w:t>
      </w:r>
      <w:r>
        <w:rPr>
          <w:b/>
        </w:rPr>
        <w:t>Le :</w:t>
      </w:r>
      <w:r>
        <w:rPr/>
        <w:t xml:space="preserve"> </w:t>
      </w:r>
      <w:r>
        <w:rPr>
          <w:b/>
        </w:rPr>
        <w:t>……………………</w:t>
      </w:r>
    </w:p>
    <w:p>
      <w:pPr>
        <w:pStyle w:val="BodyText"/>
        <w:rPr>
          <w:b/>
        </w:rPr>
      </w:pPr>
      <w:r>
        <w:rPr>
          <w:b/>
        </w:rPr>
        <w:t>Signature de l'</w:t>
      </w:r>
      <w:r>
        <w:rPr>
          <w:b/>
        </w:rPr>
        <w:t>u</w:t>
      </w:r>
      <w:r>
        <w:rPr>
          <w:b/>
        </w:rPr>
        <w:t>tilisateur :</w:t>
      </w:r>
    </w:p>
    <w:p>
      <w:pPr>
        <w:sectPr>
          <w:type w:val="nextPage"/>
          <w:pgSz w:w="11906" w:h="16838"/>
          <w:pgMar w:left="1417" w:right="1417" w:gutter="0" w:header="0" w:top="1417" w:footer="0" w:bottom="1417"/>
          <w:pgNumType w:fmt="decimal"/>
          <w:formProt w:val="false"/>
          <w:textDirection w:val="lrTb"/>
          <w:docGrid w:type="default" w:linePitch="360" w:charSpace="4096"/>
        </w:sectPr>
        <w:pStyle w:val="Normal"/>
        <w:rPr/>
      </w:pPr>
      <w:r>
        <w:rPr/>
      </w:r>
      <w:r>
        <w:br w:type="page"/>
      </w:r>
    </w:p>
    <w:p>
      <w:pPr>
        <w:pStyle w:val="Heading1"/>
        <w:spacing w:before="0" w:after="80"/>
        <w:rPr>
          <w:i/>
          <w:i/>
          <w:iCs/>
        </w:rPr>
      </w:pPr>
      <w:r>
        <w:rPr>
          <w:i/>
          <w:iCs/>
        </w:rPr>
      </w:r>
    </w:p>
    <w:p>
      <w:pPr>
        <w:pStyle w:val="Normal"/>
        <w:spacing w:before="0" w:after="160"/>
        <w:rPr/>
      </w:pPr>
      <w:r>
        <w:rPr/>
      </w:r>
    </w:p>
    <w:sectPr>
      <w:type w:val="nextPage"/>
      <w:pgSz w:w="11906" w:h="16838"/>
      <w:pgMar w:left="1417" w:right="1417"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libri Light">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Times New Roman">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w="http://schemas.openxmlformats.org/wordprocessingml/2006/main">
  <w:zoom w:percent="11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F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fr-FR" w:eastAsia="en-US" w:bidi="ar-SA"/>
    </w:rPr>
  </w:style>
  <w:style w:type="paragraph" w:styleId="Heading1">
    <w:name w:val="Heading 1"/>
    <w:basedOn w:val="Normal"/>
    <w:next w:val="Normal"/>
    <w:link w:val="Titre1Car"/>
    <w:uiPriority w:val="9"/>
    <w:qFormat/>
    <w:rsid w:val="008e0e48"/>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Titre2Car"/>
    <w:uiPriority w:val="9"/>
    <w:unhideWhenUsed/>
    <w:qFormat/>
    <w:rsid w:val="008e0e48"/>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Titre3Car"/>
    <w:uiPriority w:val="9"/>
    <w:unhideWhenUsed/>
    <w:qFormat/>
    <w:rsid w:val="008e0e48"/>
    <w:pPr>
      <w:keepNext w:val="true"/>
      <w:keepLines/>
      <w:spacing w:before="160" w:after="80"/>
      <w:outlineLvl w:val="2"/>
    </w:pPr>
    <w:rPr>
      <w:rFonts w:eastAsia="" w:cs="" w:cstheme="majorBidi" w:eastAsiaTheme="majorEastAsia"/>
      <w:color w:themeColor="accent1" w:themeShade="bf" w:val="2F5496"/>
      <w:sz w:val="28"/>
      <w:szCs w:val="28"/>
    </w:rPr>
  </w:style>
  <w:style w:type="paragraph" w:styleId="Heading4">
    <w:name w:val="Heading 4"/>
    <w:basedOn w:val="Normal"/>
    <w:next w:val="Normal"/>
    <w:link w:val="Titre4Car"/>
    <w:uiPriority w:val="9"/>
    <w:unhideWhenUsed/>
    <w:qFormat/>
    <w:rsid w:val="008e0e48"/>
    <w:pPr>
      <w:keepNext w:val="true"/>
      <w:keepLines/>
      <w:spacing w:before="80" w:after="40"/>
      <w:outlineLvl w:val="3"/>
    </w:pPr>
    <w:rPr>
      <w:rFonts w:eastAsia="" w:cs="" w:cstheme="majorBidi" w:eastAsiaTheme="majorEastAsia"/>
      <w:i/>
      <w:iCs/>
      <w:color w:themeColor="accent1" w:themeShade="bf" w:val="2F5496"/>
    </w:rPr>
  </w:style>
  <w:style w:type="paragraph" w:styleId="Heading5">
    <w:name w:val="Heading 5"/>
    <w:basedOn w:val="Normal"/>
    <w:next w:val="Normal"/>
    <w:link w:val="Titre5Car"/>
    <w:uiPriority w:val="9"/>
    <w:semiHidden/>
    <w:unhideWhenUsed/>
    <w:qFormat/>
    <w:rsid w:val="008e0e48"/>
    <w:pPr>
      <w:keepNext w:val="true"/>
      <w:keepLines/>
      <w:spacing w:before="80" w:after="40"/>
      <w:outlineLvl w:val="4"/>
    </w:pPr>
    <w:rPr>
      <w:rFonts w:eastAsia="" w:cs="" w:cstheme="majorBidi" w:eastAsiaTheme="majorEastAsia"/>
      <w:color w:themeColor="accent1" w:themeShade="bf" w:val="2F5496"/>
    </w:rPr>
  </w:style>
  <w:style w:type="paragraph" w:styleId="Heading6">
    <w:name w:val="Heading 6"/>
    <w:basedOn w:val="Normal"/>
    <w:next w:val="Normal"/>
    <w:link w:val="Titre6Car"/>
    <w:uiPriority w:val="9"/>
    <w:semiHidden/>
    <w:unhideWhenUsed/>
    <w:qFormat/>
    <w:rsid w:val="008e0e48"/>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Titre7Car"/>
    <w:uiPriority w:val="9"/>
    <w:semiHidden/>
    <w:unhideWhenUsed/>
    <w:qFormat/>
    <w:rsid w:val="008e0e48"/>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Titre8Car"/>
    <w:uiPriority w:val="9"/>
    <w:semiHidden/>
    <w:unhideWhenUsed/>
    <w:qFormat/>
    <w:rsid w:val="008e0e48"/>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Titre9Car"/>
    <w:uiPriority w:val="9"/>
    <w:semiHidden/>
    <w:unhideWhenUsed/>
    <w:qFormat/>
    <w:rsid w:val="008e0e48"/>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Titre1Car" w:customStyle="1">
    <w:name w:val="Titre 1 Car"/>
    <w:basedOn w:val="DefaultParagraphFont"/>
    <w:uiPriority w:val="9"/>
    <w:qFormat/>
    <w:rsid w:val="008e0e48"/>
    <w:rPr>
      <w:rFonts w:ascii="Calibri Light" w:hAnsi="Calibri Light" w:eastAsia="" w:cs="" w:asciiTheme="majorHAnsi" w:cstheme="majorBidi" w:eastAsiaTheme="majorEastAsia" w:hAnsiTheme="majorHAnsi"/>
      <w:color w:themeColor="accent1" w:themeShade="bf" w:val="2F5496"/>
      <w:sz w:val="40"/>
      <w:szCs w:val="40"/>
    </w:rPr>
  </w:style>
  <w:style w:type="character" w:styleId="Titre2Car" w:customStyle="1">
    <w:name w:val="Titre 2 Car"/>
    <w:basedOn w:val="DefaultParagraphFont"/>
    <w:uiPriority w:val="9"/>
    <w:qFormat/>
    <w:rsid w:val="008e0e48"/>
    <w:rPr>
      <w:rFonts w:ascii="Calibri Light" w:hAnsi="Calibri Light" w:eastAsia="" w:cs="" w:asciiTheme="majorHAnsi" w:cstheme="majorBidi" w:eastAsiaTheme="majorEastAsia" w:hAnsiTheme="majorHAnsi"/>
      <w:color w:themeColor="accent1" w:themeShade="bf" w:val="2F5496"/>
      <w:sz w:val="32"/>
      <w:szCs w:val="32"/>
    </w:rPr>
  </w:style>
  <w:style w:type="character" w:styleId="Titre3Car" w:customStyle="1">
    <w:name w:val="Titre 3 Car"/>
    <w:basedOn w:val="DefaultParagraphFont"/>
    <w:uiPriority w:val="9"/>
    <w:qFormat/>
    <w:rsid w:val="008e0e48"/>
    <w:rPr>
      <w:rFonts w:eastAsia="" w:cs="" w:cstheme="majorBidi" w:eastAsiaTheme="majorEastAsia"/>
      <w:color w:themeColor="accent1" w:themeShade="bf" w:val="2F5496"/>
      <w:sz w:val="28"/>
      <w:szCs w:val="28"/>
    </w:rPr>
  </w:style>
  <w:style w:type="character" w:styleId="Titre4Car" w:customStyle="1">
    <w:name w:val="Titre 4 Car"/>
    <w:basedOn w:val="DefaultParagraphFont"/>
    <w:uiPriority w:val="9"/>
    <w:qFormat/>
    <w:rsid w:val="008e0e48"/>
    <w:rPr>
      <w:rFonts w:eastAsia="" w:cs="" w:cstheme="majorBidi" w:eastAsiaTheme="majorEastAsia"/>
      <w:i/>
      <w:iCs/>
      <w:color w:themeColor="accent1" w:themeShade="bf" w:val="2F5496"/>
    </w:rPr>
  </w:style>
  <w:style w:type="character" w:styleId="Titre5Car" w:customStyle="1">
    <w:name w:val="Titre 5 Car"/>
    <w:basedOn w:val="DefaultParagraphFont"/>
    <w:uiPriority w:val="9"/>
    <w:semiHidden/>
    <w:qFormat/>
    <w:rsid w:val="008e0e48"/>
    <w:rPr>
      <w:rFonts w:eastAsia="" w:cs="" w:cstheme="majorBidi" w:eastAsiaTheme="majorEastAsia"/>
      <w:color w:themeColor="accent1" w:themeShade="bf" w:val="2F5496"/>
    </w:rPr>
  </w:style>
  <w:style w:type="character" w:styleId="Titre6Car" w:customStyle="1">
    <w:name w:val="Titre 6 Car"/>
    <w:basedOn w:val="DefaultParagraphFont"/>
    <w:uiPriority w:val="9"/>
    <w:semiHidden/>
    <w:qFormat/>
    <w:rsid w:val="008e0e48"/>
    <w:rPr>
      <w:rFonts w:eastAsia="" w:cs="" w:cstheme="majorBidi" w:eastAsiaTheme="majorEastAsia"/>
      <w:i/>
      <w:iCs/>
      <w:color w:themeColor="text1" w:themeTint="a6" w:val="595959"/>
    </w:rPr>
  </w:style>
  <w:style w:type="character" w:styleId="Titre7Car" w:customStyle="1">
    <w:name w:val="Titre 7 Car"/>
    <w:basedOn w:val="DefaultParagraphFont"/>
    <w:uiPriority w:val="9"/>
    <w:semiHidden/>
    <w:qFormat/>
    <w:rsid w:val="008e0e48"/>
    <w:rPr>
      <w:rFonts w:eastAsia="" w:cs="" w:cstheme="majorBidi" w:eastAsiaTheme="majorEastAsia"/>
      <w:color w:themeColor="text1" w:themeTint="a6" w:val="595959"/>
    </w:rPr>
  </w:style>
  <w:style w:type="character" w:styleId="Titre8Car" w:customStyle="1">
    <w:name w:val="Titre 8 Car"/>
    <w:basedOn w:val="DefaultParagraphFont"/>
    <w:uiPriority w:val="9"/>
    <w:semiHidden/>
    <w:qFormat/>
    <w:rsid w:val="008e0e48"/>
    <w:rPr>
      <w:rFonts w:eastAsia="" w:cs="" w:cstheme="majorBidi" w:eastAsiaTheme="majorEastAsia"/>
      <w:i/>
      <w:iCs/>
      <w:color w:themeColor="text1" w:themeTint="d8" w:val="272727"/>
    </w:rPr>
  </w:style>
  <w:style w:type="character" w:styleId="Titre9Car" w:customStyle="1">
    <w:name w:val="Titre 9 Car"/>
    <w:basedOn w:val="DefaultParagraphFont"/>
    <w:uiPriority w:val="9"/>
    <w:semiHidden/>
    <w:qFormat/>
    <w:rsid w:val="008e0e48"/>
    <w:rPr>
      <w:rFonts w:eastAsia="" w:cs="" w:cstheme="majorBidi" w:eastAsiaTheme="majorEastAsia"/>
      <w:color w:themeColor="text1" w:themeTint="d8" w:val="272727"/>
    </w:rPr>
  </w:style>
  <w:style w:type="character" w:styleId="TitreCar" w:customStyle="1">
    <w:name w:val="Titre Car"/>
    <w:basedOn w:val="DefaultParagraphFont"/>
    <w:uiPriority w:val="10"/>
    <w:qFormat/>
    <w:rsid w:val="008e0e48"/>
    <w:rPr>
      <w:rFonts w:ascii="Calibri Light" w:hAnsi="Calibri Light" w:eastAsia="" w:cs="" w:asciiTheme="majorHAnsi" w:cstheme="majorBidi" w:eastAsiaTheme="majorEastAsia" w:hAnsiTheme="majorHAnsi"/>
      <w:spacing w:val="-10"/>
      <w:kern w:val="2"/>
      <w:sz w:val="56"/>
      <w:szCs w:val="56"/>
    </w:rPr>
  </w:style>
  <w:style w:type="character" w:styleId="Sous-titreCar" w:customStyle="1">
    <w:name w:val="Sous-titre Car"/>
    <w:basedOn w:val="DefaultParagraphFont"/>
    <w:uiPriority w:val="11"/>
    <w:qFormat/>
    <w:rsid w:val="008e0e48"/>
    <w:rPr>
      <w:rFonts w:eastAsia="" w:cs="" w:cstheme="majorBidi" w:eastAsiaTheme="majorEastAsia"/>
      <w:color w:themeColor="text1" w:themeTint="a6" w:val="595959"/>
      <w:spacing w:val="15"/>
      <w:sz w:val="28"/>
      <w:szCs w:val="28"/>
    </w:rPr>
  </w:style>
  <w:style w:type="character" w:styleId="CitationCar" w:customStyle="1">
    <w:name w:val="Citation Car"/>
    <w:basedOn w:val="DefaultParagraphFont"/>
    <w:link w:val="Quote"/>
    <w:uiPriority w:val="29"/>
    <w:qFormat/>
    <w:rsid w:val="008e0e48"/>
    <w:rPr>
      <w:i/>
      <w:iCs/>
      <w:color w:themeColor="text1" w:themeTint="bf" w:val="404040"/>
    </w:rPr>
  </w:style>
  <w:style w:type="character" w:styleId="IntenseEmphasis">
    <w:name w:val="Intense Emphasis"/>
    <w:basedOn w:val="DefaultParagraphFont"/>
    <w:uiPriority w:val="21"/>
    <w:qFormat/>
    <w:rsid w:val="008e0e48"/>
    <w:rPr>
      <w:i/>
      <w:iCs/>
      <w:color w:themeColor="accent1" w:themeShade="bf" w:val="2F5496"/>
    </w:rPr>
  </w:style>
  <w:style w:type="character" w:styleId="CitationintenseCar" w:customStyle="1">
    <w:name w:val="Citation intense Car"/>
    <w:basedOn w:val="DefaultParagraphFont"/>
    <w:link w:val="IntenseQuote"/>
    <w:uiPriority w:val="30"/>
    <w:qFormat/>
    <w:rsid w:val="008e0e48"/>
    <w:rPr>
      <w:i/>
      <w:iCs/>
      <w:color w:themeColor="accent1" w:themeShade="bf" w:val="2F5496"/>
    </w:rPr>
  </w:style>
  <w:style w:type="character" w:styleId="IntenseReference">
    <w:name w:val="Intense Reference"/>
    <w:basedOn w:val="DefaultParagraphFont"/>
    <w:uiPriority w:val="32"/>
    <w:qFormat/>
    <w:rsid w:val="008e0e48"/>
    <w:rPr>
      <w:b/>
      <w:bCs/>
      <w:smallCaps/>
      <w:color w:themeColor="accent1" w:themeShade="bf" w:val="2F5496"/>
      <w:spacing w:val="5"/>
    </w:rPr>
  </w:style>
  <w:style w:type="character" w:styleId="Strong">
    <w:name w:val="Strong"/>
    <w:basedOn w:val="DefaultParagraphFont"/>
    <w:uiPriority w:val="22"/>
    <w:qFormat/>
    <w:rsid w:val="00c8763a"/>
    <w:rPr>
      <w:b/>
      <w:bCs/>
    </w:rPr>
  </w:style>
  <w:style w:type="character" w:styleId="Hyperlink">
    <w:name w:val="Hyperlink"/>
    <w:basedOn w:val="DefaultParagraphFont"/>
    <w:uiPriority w:val="99"/>
    <w:unhideWhenUsed/>
    <w:rsid w:val="00c8763a"/>
    <w:rPr>
      <w:color w:val="0000FF"/>
      <w:u w:val="single"/>
    </w:rPr>
  </w:style>
  <w:style w:type="character" w:styleId="FollowedHyperlink">
    <w:name w:val="FollowedHyperlink"/>
    <w:basedOn w:val="DefaultParagraphFont"/>
    <w:uiPriority w:val="99"/>
    <w:semiHidden/>
    <w:unhideWhenUsed/>
    <w:rsid w:val="00c8763a"/>
    <w:rPr>
      <w:color w:val="800080"/>
      <w:u w:val="single"/>
    </w:rPr>
  </w:style>
  <w:style w:type="character" w:styleId="Emphasis">
    <w:name w:val="Emphasis"/>
    <w:basedOn w:val="DefaultParagraphFont"/>
    <w:uiPriority w:val="20"/>
    <w:qFormat/>
    <w:rsid w:val="00c8763a"/>
    <w:rPr>
      <w:i/>
      <w:iCs/>
    </w:rPr>
  </w:style>
  <w:style w:type="character" w:styleId="UnresolvedMention">
    <w:name w:val="Unresolved Mention"/>
    <w:basedOn w:val="DefaultParagraphFont"/>
    <w:uiPriority w:val="99"/>
    <w:semiHidden/>
    <w:unhideWhenUsed/>
    <w:qFormat/>
    <w:rsid w:val="00c8763a"/>
    <w:rPr>
      <w:color w:val="605E5C"/>
      <w:shd w:fill="E1DFDD" w:val="clear"/>
    </w:rPr>
  </w:style>
  <w:style w:type="character" w:styleId="En-tteCar" w:customStyle="1">
    <w:name w:val="En-tête Car"/>
    <w:basedOn w:val="DefaultParagraphFont"/>
    <w:uiPriority w:val="99"/>
    <w:qFormat/>
    <w:rsid w:val="000058f9"/>
    <w:rPr/>
  </w:style>
  <w:style w:type="character" w:styleId="PieddepageCar" w:customStyle="1">
    <w:name w:val="Pied de page Car"/>
    <w:basedOn w:val="DefaultParagraphFont"/>
    <w:uiPriority w:val="99"/>
    <w:qFormat/>
    <w:rsid w:val="000058f9"/>
    <w:rPr/>
  </w:style>
  <w:style w:type="character" w:styleId="Sautdindex">
    <w:name w:val="Saut d'index"/>
    <w:qFormat/>
    <w:rPr/>
  </w:style>
  <w:style w:type="character" w:styleId="Caractresdenumrotation">
    <w:name w:val="Caractères de numérotation"/>
    <w:qFormat/>
    <w:rPr/>
  </w:style>
  <w:style w:type="character" w:styleId="Puces">
    <w:name w:val="Puces"/>
    <w:qFormat/>
    <w:rPr>
      <w:rFonts w:ascii="OpenSymbol" w:hAnsi="OpenSymbol" w:eastAsia="OpenSymbol" w:cs="OpenSymbol"/>
    </w:rPr>
  </w:style>
  <w:style w:type="paragraph" w:styleId="Titre">
    <w:name w:val="Titre"/>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itle">
    <w:name w:val="Title"/>
    <w:basedOn w:val="Normal"/>
    <w:next w:val="Normal"/>
    <w:link w:val="TitreCar"/>
    <w:uiPriority w:val="10"/>
    <w:qFormat/>
    <w:rsid w:val="008e0e48"/>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Sous-titreCar"/>
    <w:uiPriority w:val="11"/>
    <w:qFormat/>
    <w:rsid w:val="008e0e48"/>
    <w:pPr/>
    <w:rPr>
      <w:rFonts w:eastAsia="" w:cs="" w:cstheme="majorBidi" w:eastAsiaTheme="majorEastAsia"/>
      <w:color w:themeColor="text1" w:themeTint="a6" w:val="595959"/>
      <w:spacing w:val="15"/>
      <w:sz w:val="28"/>
      <w:szCs w:val="28"/>
    </w:rPr>
  </w:style>
  <w:style w:type="paragraph" w:styleId="Quote">
    <w:name w:val="Quote"/>
    <w:basedOn w:val="Normal"/>
    <w:next w:val="Normal"/>
    <w:link w:val="CitationCar"/>
    <w:uiPriority w:val="29"/>
    <w:qFormat/>
    <w:rsid w:val="008e0e48"/>
    <w:pPr>
      <w:spacing w:before="160" w:after="160"/>
      <w:jc w:val="center"/>
    </w:pPr>
    <w:rPr>
      <w:i/>
      <w:iCs/>
      <w:color w:themeColor="text1" w:themeTint="bf" w:val="404040"/>
    </w:rPr>
  </w:style>
  <w:style w:type="paragraph" w:styleId="ListParagraph">
    <w:name w:val="List Paragraph"/>
    <w:basedOn w:val="Normal"/>
    <w:uiPriority w:val="34"/>
    <w:qFormat/>
    <w:rsid w:val="008e0e48"/>
    <w:pPr>
      <w:spacing w:before="0" w:after="160"/>
      <w:ind w:left="720"/>
      <w:contextualSpacing/>
    </w:pPr>
    <w:rPr/>
  </w:style>
  <w:style w:type="paragraph" w:styleId="IntenseQuote">
    <w:name w:val="Intense Quote"/>
    <w:basedOn w:val="Normal"/>
    <w:next w:val="Normal"/>
    <w:link w:val="CitationintenseCar"/>
    <w:uiPriority w:val="30"/>
    <w:qFormat/>
    <w:rsid w:val="008e0e48"/>
    <w:pPr>
      <w:pBdr>
        <w:top w:val="single" w:sz="4" w:space="10" w:color="2F5496" w:themeColor="accent1" w:themeShade="bf"/>
        <w:bottom w:val="single" w:sz="4" w:space="10" w:color="2F5496" w:themeColor="accent1" w:themeShade="bf"/>
      </w:pBdr>
      <w:spacing w:before="360" w:after="360"/>
      <w:ind w:left="864" w:right="864"/>
      <w:jc w:val="center"/>
    </w:pPr>
    <w:rPr>
      <w:i/>
      <w:iCs/>
      <w:color w:themeColor="accent1" w:themeShade="bf" w:val="2F5496"/>
    </w:rPr>
  </w:style>
  <w:style w:type="paragraph" w:styleId="msonormal" w:customStyle="1">
    <w:name w:val="msonormal"/>
    <w:basedOn w:val="Normal"/>
    <w:qFormat/>
    <w:rsid w:val="00c8763a"/>
    <w:pPr>
      <w:spacing w:lineRule="auto" w:line="240" w:beforeAutospacing="1" w:afterAutospacing="1"/>
    </w:pPr>
    <w:rPr>
      <w:rFonts w:ascii="Times New Roman" w:hAnsi="Times New Roman" w:eastAsia="Times New Roman" w:cs="Times New Roman"/>
      <w:sz w:val="24"/>
      <w:szCs w:val="24"/>
      <w:lang w:eastAsia="fr-FR"/>
    </w:rPr>
  </w:style>
  <w:style w:type="paragraph" w:styleId="NormalWeb">
    <w:name w:val="Normal (Web)"/>
    <w:basedOn w:val="Normal"/>
    <w:uiPriority w:val="99"/>
    <w:semiHidden/>
    <w:unhideWhenUsed/>
    <w:qFormat/>
    <w:rsid w:val="00c8763a"/>
    <w:pPr>
      <w:spacing w:lineRule="auto" w:line="240" w:beforeAutospacing="1" w:afterAutospacing="1"/>
    </w:pPr>
    <w:rPr>
      <w:rFonts w:ascii="Times New Roman" w:hAnsi="Times New Roman" w:eastAsia="Times New Roman" w:cs="Times New Roman"/>
      <w:sz w:val="24"/>
      <w:szCs w:val="24"/>
      <w:lang w:eastAsia="fr-FR"/>
    </w:rPr>
  </w:style>
  <w:style w:type="paragraph" w:styleId="En-tteetpieddepage">
    <w:name w:val="En-tête et pied de page"/>
    <w:basedOn w:val="Normal"/>
    <w:qFormat/>
    <w:pPr/>
    <w:rPr/>
  </w:style>
  <w:style w:type="paragraph" w:styleId="Header">
    <w:name w:val="Header"/>
    <w:basedOn w:val="Normal"/>
    <w:link w:val="En-tteCar"/>
    <w:uiPriority w:val="99"/>
    <w:unhideWhenUsed/>
    <w:rsid w:val="000058f9"/>
    <w:pPr>
      <w:tabs>
        <w:tab w:val="clear" w:pos="708"/>
        <w:tab w:val="center" w:pos="4536" w:leader="none"/>
        <w:tab w:val="right" w:pos="9072" w:leader="none"/>
      </w:tabs>
      <w:spacing w:lineRule="auto" w:line="240" w:before="0" w:after="0"/>
    </w:pPr>
    <w:rPr/>
  </w:style>
  <w:style w:type="paragraph" w:styleId="Footer">
    <w:name w:val="Footer"/>
    <w:basedOn w:val="Normal"/>
    <w:link w:val="PieddepageCar"/>
    <w:uiPriority w:val="99"/>
    <w:unhideWhenUsed/>
    <w:rsid w:val="000058f9"/>
    <w:pPr>
      <w:tabs>
        <w:tab w:val="clear" w:pos="708"/>
        <w:tab w:val="center" w:pos="4536" w:leader="none"/>
        <w:tab w:val="right" w:pos="9072" w:leader="none"/>
      </w:tabs>
      <w:spacing w:lineRule="auto" w:line="240" w:before="0" w:after="0"/>
    </w:pPr>
    <w:rPr/>
  </w:style>
  <w:style w:type="paragraph" w:styleId="TOC1">
    <w:name w:val="TOC 1"/>
    <w:basedOn w:val="Normal"/>
    <w:next w:val="Normal"/>
    <w:autoRedefine/>
    <w:uiPriority w:val="39"/>
    <w:unhideWhenUsed/>
    <w:rsid w:val="000058f9"/>
    <w:pPr>
      <w:spacing w:before="0" w:after="100"/>
    </w:pPr>
    <w:rPr/>
  </w:style>
  <w:style w:type="paragraph" w:styleId="TOC2">
    <w:name w:val="TOC 2"/>
    <w:basedOn w:val="Normal"/>
    <w:next w:val="Normal"/>
    <w:autoRedefine/>
    <w:uiPriority w:val="39"/>
    <w:unhideWhenUsed/>
    <w:rsid w:val="000058f9"/>
    <w:pPr>
      <w:spacing w:before="0" w:after="100"/>
      <w:ind w:left="220"/>
    </w:pPr>
    <w:rPr/>
  </w:style>
  <w:style w:type="paragraph" w:styleId="TOC3">
    <w:name w:val="TOC 3"/>
    <w:basedOn w:val="Normal"/>
    <w:next w:val="Normal"/>
    <w:autoRedefine/>
    <w:uiPriority w:val="39"/>
    <w:unhideWhenUsed/>
    <w:rsid w:val="000058f9"/>
    <w:pPr>
      <w:spacing w:lineRule="auto" w:line="276" w:before="0" w:after="100"/>
      <w:ind w:left="480"/>
    </w:pPr>
    <w:rPr>
      <w:rFonts w:eastAsia="" w:eastAsiaTheme="minorEastAsia"/>
      <w:kern w:val="2"/>
      <w:sz w:val="24"/>
      <w:szCs w:val="24"/>
      <w:lang w:eastAsia="fr-FR"/>
      <w14:ligatures w14:val="standardContextual"/>
    </w:rPr>
  </w:style>
  <w:style w:type="paragraph" w:styleId="TOC4">
    <w:name w:val="TOC 4"/>
    <w:basedOn w:val="Normal"/>
    <w:next w:val="Normal"/>
    <w:autoRedefine/>
    <w:uiPriority w:val="39"/>
    <w:unhideWhenUsed/>
    <w:rsid w:val="000058f9"/>
    <w:pPr>
      <w:spacing w:lineRule="auto" w:line="276" w:before="0" w:after="100"/>
      <w:ind w:left="720"/>
    </w:pPr>
    <w:rPr>
      <w:rFonts w:eastAsia="" w:eastAsiaTheme="minorEastAsia"/>
      <w:kern w:val="2"/>
      <w:sz w:val="24"/>
      <w:szCs w:val="24"/>
      <w:lang w:eastAsia="fr-FR"/>
      <w14:ligatures w14:val="standardContextual"/>
    </w:rPr>
  </w:style>
  <w:style w:type="paragraph" w:styleId="TOC5">
    <w:name w:val="TOC 5"/>
    <w:basedOn w:val="Normal"/>
    <w:next w:val="Normal"/>
    <w:autoRedefine/>
    <w:uiPriority w:val="39"/>
    <w:unhideWhenUsed/>
    <w:rsid w:val="000058f9"/>
    <w:pPr>
      <w:spacing w:lineRule="auto" w:line="276" w:before="0" w:after="100"/>
      <w:ind w:left="960"/>
    </w:pPr>
    <w:rPr>
      <w:rFonts w:eastAsia="" w:eastAsiaTheme="minorEastAsia"/>
      <w:kern w:val="2"/>
      <w:sz w:val="24"/>
      <w:szCs w:val="24"/>
      <w:lang w:eastAsia="fr-FR"/>
      <w14:ligatures w14:val="standardContextual"/>
    </w:rPr>
  </w:style>
  <w:style w:type="paragraph" w:styleId="TOC6">
    <w:name w:val="TOC 6"/>
    <w:basedOn w:val="Normal"/>
    <w:next w:val="Normal"/>
    <w:autoRedefine/>
    <w:uiPriority w:val="39"/>
    <w:unhideWhenUsed/>
    <w:rsid w:val="000058f9"/>
    <w:pPr>
      <w:spacing w:lineRule="auto" w:line="276" w:before="0" w:after="100"/>
      <w:ind w:left="1200"/>
    </w:pPr>
    <w:rPr>
      <w:rFonts w:eastAsia="" w:eastAsiaTheme="minorEastAsia"/>
      <w:kern w:val="2"/>
      <w:sz w:val="24"/>
      <w:szCs w:val="24"/>
      <w:lang w:eastAsia="fr-FR"/>
      <w14:ligatures w14:val="standardContextual"/>
    </w:rPr>
  </w:style>
  <w:style w:type="paragraph" w:styleId="TOC7">
    <w:name w:val="TOC 7"/>
    <w:basedOn w:val="Normal"/>
    <w:next w:val="Normal"/>
    <w:autoRedefine/>
    <w:uiPriority w:val="39"/>
    <w:unhideWhenUsed/>
    <w:rsid w:val="000058f9"/>
    <w:pPr>
      <w:spacing w:lineRule="auto" w:line="276" w:before="0" w:after="100"/>
      <w:ind w:left="1440"/>
    </w:pPr>
    <w:rPr>
      <w:rFonts w:eastAsia="" w:eastAsiaTheme="minorEastAsia"/>
      <w:kern w:val="2"/>
      <w:sz w:val="24"/>
      <w:szCs w:val="24"/>
      <w:lang w:eastAsia="fr-FR"/>
      <w14:ligatures w14:val="standardContextual"/>
    </w:rPr>
  </w:style>
  <w:style w:type="paragraph" w:styleId="TOC8">
    <w:name w:val="TOC 8"/>
    <w:basedOn w:val="Normal"/>
    <w:next w:val="Normal"/>
    <w:autoRedefine/>
    <w:uiPriority w:val="39"/>
    <w:unhideWhenUsed/>
    <w:rsid w:val="000058f9"/>
    <w:pPr>
      <w:spacing w:lineRule="auto" w:line="276" w:before="0" w:after="100"/>
      <w:ind w:left="1680"/>
    </w:pPr>
    <w:rPr>
      <w:rFonts w:eastAsia="" w:eastAsiaTheme="minorEastAsia"/>
      <w:kern w:val="2"/>
      <w:sz w:val="24"/>
      <w:szCs w:val="24"/>
      <w:lang w:eastAsia="fr-FR"/>
      <w14:ligatures w14:val="standardContextual"/>
    </w:rPr>
  </w:style>
  <w:style w:type="paragraph" w:styleId="TOC9">
    <w:name w:val="TOC 9"/>
    <w:basedOn w:val="Normal"/>
    <w:next w:val="Normal"/>
    <w:autoRedefine/>
    <w:uiPriority w:val="39"/>
    <w:unhideWhenUsed/>
    <w:rsid w:val="000058f9"/>
    <w:pPr>
      <w:spacing w:lineRule="auto" w:line="276" w:before="0" w:after="100"/>
      <w:ind w:left="1920"/>
    </w:pPr>
    <w:rPr>
      <w:rFonts w:eastAsia="" w:eastAsiaTheme="minorEastAsia"/>
      <w:kern w:val="2"/>
      <w:sz w:val="24"/>
      <w:szCs w:val="24"/>
      <w:lang w:eastAsia="fr-FR"/>
      <w14:ligatures w14:val="standardContextual"/>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Grilledutableau">
    <w:name w:val="Table Grid"/>
    <w:basedOn w:val="TableauNormal"/>
    <w:uiPriority w:val="39"/>
    <w:rsid w:val="00e8141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148</TotalTime>
  <Application>LibreOffice/24.2.7.2$Linux_X86_64 LibreOffice_project/420$Build-2</Application>
  <AppVersion>15.0000</AppVersion>
  <Pages>17</Pages>
  <Words>4276</Words>
  <Characters>24704</Characters>
  <CharactersWithSpaces>28659</CharactersWithSpaces>
  <Paragraphs>202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2025-10-11T12:14:00Z</dcterms:created>
  <dc:creator>Lenovo</dc:creator>
  <dc:description/>
  <dc:language>fr-FR</dc:language>
  <cp:lastModifiedBy/>
  <dcterms:modified xsi:type="dcterms:W3CDTF">2025-11-05T13:31:08Z</dcterms:modified>
  <cp:revision>24</cp:revision>
  <dc:subject/>
  <dc:title/>
</cp:coreProperties>
</file>

<file path=docProps/custom.xml><?xml version="1.0" encoding="utf-8"?>
<Properties xmlns="http://schemas.openxmlformats.org/officeDocument/2006/custom-properties" xmlns:vt="http://schemas.openxmlformats.org/officeDocument/2006/docPropsVTypes"/>
</file>