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re1"/>
        <w:bidi w:val="0"/>
        <w:spacing w:before="240" w:after="120"/>
        <w:jc w:val="left"/>
        <w:rPr/>
      </w:pPr>
      <w:r>
        <w:rPr/>
        <w:t>Conventions et Politiques de la Direction des Services d'Information (DSI)</w:t>
      </w:r>
    </w:p>
    <w:p>
      <w:pPr>
        <w:pStyle w:val="Titre2"/>
        <w:bidi w:val="0"/>
        <w:jc w:val="left"/>
        <w:rPr/>
      </w:pPr>
      <w:r>
        <w:rPr/>
        <w:t>Introduction</w:t>
      </w:r>
    </w:p>
    <w:p>
      <w:pPr>
        <w:pStyle w:val="Corpsdetexte"/>
        <w:bidi w:val="0"/>
        <w:spacing w:lineRule="auto" w:line="276" w:before="0" w:after="140"/>
        <w:jc w:val="left"/>
        <w:rPr/>
      </w:pPr>
      <w:r>
        <w:rPr/>
        <w:t>La Direction des Services d'Information (DSI) joue un rôle crucial dans la gestion et la sécurisation des ressources informatiques d'une organisation. Pour assurer une gestion efficace et une sécurité optimale, la DSI doit établir diverses conventions et politiques. Ce document liste et détaille les principales conventions et politiques qu'une DSI devrait avoir en place.</w:t>
      </w:r>
    </w:p>
    <w:p>
      <w:pPr>
        <w:pStyle w:val="Lignehorizontale"/>
        <w:suppressLineNumbers/>
        <w:pBdr>
          <w:bottom w:val="double" w:sz="2" w:space="0" w:color="808080"/>
        </w:pBdr>
        <w:bidi w:val="0"/>
        <w:spacing w:before="0" w:after="283"/>
        <w:jc w:val="left"/>
        <w:rPr/>
      </w:pPr>
      <w:r>
        <w:rPr/>
      </w:r>
    </w:p>
    <w:p>
      <w:pPr>
        <w:pStyle w:val="Titre2"/>
        <w:bidi w:val="0"/>
        <w:jc w:val="left"/>
        <w:rPr/>
      </w:pPr>
      <w:r>
        <w:rPr/>
        <w:t>1. Politique de Sécurité de l'Information</w:t>
      </w:r>
    </w:p>
    <w:p>
      <w:pPr>
        <w:pStyle w:val="Titre3"/>
        <w:bidi w:val="0"/>
        <w:jc w:val="left"/>
        <w:rPr/>
      </w:pPr>
      <w:r>
        <w:rPr/>
        <w:t>1.1 Objectif</w:t>
      </w:r>
    </w:p>
    <w:p>
      <w:pPr>
        <w:pStyle w:val="Corpsdetexte"/>
        <w:bidi w:val="0"/>
        <w:spacing w:lineRule="auto" w:line="276" w:before="0" w:after="140"/>
        <w:jc w:val="left"/>
        <w:rPr/>
      </w:pPr>
      <w:r>
        <w:rPr/>
        <w:t>Protéger les actifs informationnels de l'organisation contre les menaces internes et externes, assurer la confidentialité, l'intégrité et la disponibilité des informations.</w:t>
      </w:r>
    </w:p>
    <w:p>
      <w:pPr>
        <w:pStyle w:val="Titre3"/>
        <w:bidi w:val="0"/>
        <w:jc w:val="left"/>
        <w:rPr/>
      </w:pPr>
      <w:r>
        <w:rPr/>
        <w:t>1.2 Contenu</w:t>
      </w:r>
    </w:p>
    <w:p>
      <w:pPr>
        <w:pStyle w:val="Corpsdetexte"/>
        <w:numPr>
          <w:ilvl w:val="0"/>
          <w:numId w:val="1"/>
        </w:numPr>
        <w:tabs>
          <w:tab w:val="clear" w:pos="709"/>
          <w:tab w:val="left" w:pos="709" w:leader="none"/>
        </w:tabs>
        <w:bidi w:val="0"/>
        <w:spacing w:before="0" w:after="0"/>
        <w:ind w:left="709" w:hanging="283"/>
        <w:jc w:val="left"/>
        <w:rPr/>
      </w:pPr>
      <w:r>
        <w:rPr/>
        <w:t>Classification des informations</w:t>
      </w:r>
    </w:p>
    <w:p>
      <w:pPr>
        <w:pStyle w:val="Corpsdetexte"/>
        <w:numPr>
          <w:ilvl w:val="0"/>
          <w:numId w:val="1"/>
        </w:numPr>
        <w:tabs>
          <w:tab w:val="clear" w:pos="709"/>
          <w:tab w:val="left" w:pos="709" w:leader="none"/>
        </w:tabs>
        <w:bidi w:val="0"/>
        <w:spacing w:before="0" w:after="0"/>
        <w:ind w:left="709" w:hanging="283"/>
        <w:jc w:val="left"/>
        <w:rPr/>
      </w:pPr>
      <w:r>
        <w:rPr/>
        <w:t>Gestion des accès</w:t>
      </w:r>
    </w:p>
    <w:p>
      <w:pPr>
        <w:pStyle w:val="Corpsdetexte"/>
        <w:numPr>
          <w:ilvl w:val="0"/>
          <w:numId w:val="1"/>
        </w:numPr>
        <w:tabs>
          <w:tab w:val="clear" w:pos="709"/>
          <w:tab w:val="left" w:pos="709" w:leader="none"/>
        </w:tabs>
        <w:bidi w:val="0"/>
        <w:spacing w:before="0" w:after="0"/>
        <w:ind w:left="709" w:hanging="283"/>
        <w:jc w:val="left"/>
        <w:rPr/>
      </w:pPr>
      <w:r>
        <w:rPr/>
        <w:t>Mesures de sécurité physique et logique</w:t>
      </w:r>
    </w:p>
    <w:p>
      <w:pPr>
        <w:pStyle w:val="Corpsdetexte"/>
        <w:numPr>
          <w:ilvl w:val="0"/>
          <w:numId w:val="1"/>
        </w:numPr>
        <w:tabs>
          <w:tab w:val="clear" w:pos="709"/>
          <w:tab w:val="left" w:pos="709" w:leader="none"/>
        </w:tabs>
        <w:bidi w:val="0"/>
        <w:spacing w:before="0" w:after="0"/>
        <w:ind w:left="709" w:hanging="283"/>
        <w:jc w:val="left"/>
        <w:rPr/>
      </w:pPr>
      <w:r>
        <w:rPr/>
        <w:t>Surveillance et audit des systèmes</w:t>
      </w:r>
    </w:p>
    <w:p>
      <w:pPr>
        <w:pStyle w:val="Corpsdetexte"/>
        <w:numPr>
          <w:ilvl w:val="0"/>
          <w:numId w:val="1"/>
        </w:numPr>
        <w:tabs>
          <w:tab w:val="clear" w:pos="709"/>
          <w:tab w:val="left" w:pos="709" w:leader="none"/>
        </w:tabs>
        <w:bidi w:val="0"/>
        <w:ind w:left="709" w:hanging="283"/>
        <w:jc w:val="left"/>
        <w:rPr/>
      </w:pPr>
      <w:r>
        <w:rPr/>
        <w:t>Plan de réponse aux incidents de sécurité</w:t>
      </w:r>
    </w:p>
    <w:p>
      <w:pPr>
        <w:pStyle w:val="Lignehorizontale"/>
        <w:bidi w:val="0"/>
        <w:jc w:val="left"/>
        <w:rPr/>
      </w:pPr>
      <w:r>
        <w:rPr/>
      </w:r>
    </w:p>
    <w:p>
      <w:pPr>
        <w:pStyle w:val="Titre2"/>
        <w:bidi w:val="0"/>
        <w:jc w:val="left"/>
        <w:rPr/>
      </w:pPr>
      <w:r>
        <w:rPr/>
        <w:t>2. Politique de Gestion des Accès</w:t>
      </w:r>
    </w:p>
    <w:p>
      <w:pPr>
        <w:pStyle w:val="Titre3"/>
        <w:bidi w:val="0"/>
        <w:jc w:val="left"/>
        <w:rPr/>
      </w:pPr>
      <w:r>
        <w:rPr/>
        <w:t>2.1 Objectif</w:t>
      </w:r>
    </w:p>
    <w:p>
      <w:pPr>
        <w:pStyle w:val="Corpsdetexte"/>
        <w:bidi w:val="0"/>
        <w:spacing w:lineRule="auto" w:line="276" w:before="0" w:after="140"/>
        <w:jc w:val="left"/>
        <w:rPr/>
      </w:pPr>
      <w:r>
        <w:rPr/>
        <w:t>Garantir que seules les personnes autorisées ont accès aux systèmes et aux informations sensibles.</w:t>
      </w:r>
    </w:p>
    <w:p>
      <w:pPr>
        <w:pStyle w:val="Titre3"/>
        <w:bidi w:val="0"/>
        <w:jc w:val="left"/>
        <w:rPr/>
      </w:pPr>
      <w:r>
        <w:rPr/>
        <w:t>2.2 Contenu</w:t>
      </w:r>
    </w:p>
    <w:p>
      <w:pPr>
        <w:pStyle w:val="Corpsdetexte"/>
        <w:numPr>
          <w:ilvl w:val="0"/>
          <w:numId w:val="2"/>
        </w:numPr>
        <w:tabs>
          <w:tab w:val="clear" w:pos="709"/>
          <w:tab w:val="left" w:pos="709" w:leader="none"/>
        </w:tabs>
        <w:bidi w:val="0"/>
        <w:spacing w:before="0" w:after="0"/>
        <w:ind w:left="709" w:hanging="283"/>
        <w:jc w:val="left"/>
        <w:rPr/>
      </w:pPr>
      <w:r>
        <w:rPr/>
        <w:t>Procédures d'octroi et de révocation des accès</w:t>
      </w:r>
    </w:p>
    <w:p>
      <w:pPr>
        <w:pStyle w:val="Corpsdetexte"/>
        <w:numPr>
          <w:ilvl w:val="0"/>
          <w:numId w:val="2"/>
        </w:numPr>
        <w:tabs>
          <w:tab w:val="clear" w:pos="709"/>
          <w:tab w:val="left" w:pos="709" w:leader="none"/>
        </w:tabs>
        <w:bidi w:val="0"/>
        <w:spacing w:before="0" w:after="0"/>
        <w:ind w:left="709" w:hanging="283"/>
        <w:jc w:val="left"/>
        <w:rPr/>
      </w:pPr>
      <w:r>
        <w:rPr/>
        <w:t>Authentification et gestion des identifiants</w:t>
      </w:r>
    </w:p>
    <w:p>
      <w:pPr>
        <w:pStyle w:val="Corpsdetexte"/>
        <w:numPr>
          <w:ilvl w:val="0"/>
          <w:numId w:val="2"/>
        </w:numPr>
        <w:tabs>
          <w:tab w:val="clear" w:pos="709"/>
          <w:tab w:val="left" w:pos="709" w:leader="none"/>
        </w:tabs>
        <w:bidi w:val="0"/>
        <w:spacing w:before="0" w:after="0"/>
        <w:ind w:left="709" w:hanging="283"/>
        <w:jc w:val="left"/>
        <w:rPr/>
      </w:pPr>
      <w:r>
        <w:rPr/>
        <w:t>Surveillance et journalisation des accès</w:t>
      </w:r>
    </w:p>
    <w:p>
      <w:pPr>
        <w:pStyle w:val="Corpsdetexte"/>
        <w:numPr>
          <w:ilvl w:val="0"/>
          <w:numId w:val="2"/>
        </w:numPr>
        <w:tabs>
          <w:tab w:val="clear" w:pos="709"/>
          <w:tab w:val="left" w:pos="709" w:leader="none"/>
        </w:tabs>
        <w:bidi w:val="0"/>
        <w:ind w:left="709" w:hanging="283"/>
        <w:jc w:val="left"/>
        <w:rPr/>
      </w:pPr>
      <w:r>
        <w:rPr/>
        <w:t>Contrôles d'accès physiques</w:t>
      </w:r>
    </w:p>
    <w:p>
      <w:pPr>
        <w:pStyle w:val="Lignehorizontale"/>
        <w:bidi w:val="0"/>
        <w:jc w:val="left"/>
        <w:rPr/>
      </w:pPr>
      <w:r>
        <w:rPr/>
      </w:r>
    </w:p>
    <w:p>
      <w:pPr>
        <w:pStyle w:val="Titre2"/>
        <w:bidi w:val="0"/>
        <w:jc w:val="left"/>
        <w:rPr/>
      </w:pPr>
      <w:r>
        <w:rPr/>
        <w:t>3. Politique de Continuité d'Activité et de Reprise après Sinistre</w:t>
      </w:r>
    </w:p>
    <w:p>
      <w:pPr>
        <w:pStyle w:val="Titre3"/>
        <w:bidi w:val="0"/>
        <w:jc w:val="left"/>
        <w:rPr/>
      </w:pPr>
      <w:r>
        <w:rPr/>
        <w:t>3.1 Objectif</w:t>
      </w:r>
    </w:p>
    <w:p>
      <w:pPr>
        <w:pStyle w:val="Corpsdetexte"/>
        <w:bidi w:val="0"/>
        <w:spacing w:lineRule="auto" w:line="276" w:before="0" w:after="140"/>
        <w:jc w:val="left"/>
        <w:rPr/>
      </w:pPr>
      <w:r>
        <w:rPr/>
        <w:t>Assurer la continuité des opérations en cas d'incident majeur et définir les actions nécessaires pour la reprise rapide des activités.</w:t>
      </w:r>
    </w:p>
    <w:p>
      <w:pPr>
        <w:pStyle w:val="Titre3"/>
        <w:bidi w:val="0"/>
        <w:jc w:val="left"/>
        <w:rPr/>
      </w:pPr>
      <w:r>
        <w:rPr/>
        <w:t>3.2 Contenu</w:t>
      </w:r>
    </w:p>
    <w:p>
      <w:pPr>
        <w:pStyle w:val="Corpsdetexte"/>
        <w:numPr>
          <w:ilvl w:val="0"/>
          <w:numId w:val="3"/>
        </w:numPr>
        <w:tabs>
          <w:tab w:val="clear" w:pos="709"/>
          <w:tab w:val="left" w:pos="709" w:leader="none"/>
        </w:tabs>
        <w:bidi w:val="0"/>
        <w:spacing w:before="0" w:after="0"/>
        <w:ind w:left="709" w:hanging="283"/>
        <w:jc w:val="left"/>
        <w:rPr/>
      </w:pPr>
      <w:r>
        <w:rPr/>
        <w:t>Plan de continuité des activités (PCA)</w:t>
      </w:r>
    </w:p>
    <w:p>
      <w:pPr>
        <w:pStyle w:val="Corpsdetexte"/>
        <w:numPr>
          <w:ilvl w:val="0"/>
          <w:numId w:val="3"/>
        </w:numPr>
        <w:tabs>
          <w:tab w:val="clear" w:pos="709"/>
          <w:tab w:val="left" w:pos="709" w:leader="none"/>
        </w:tabs>
        <w:bidi w:val="0"/>
        <w:spacing w:before="0" w:after="0"/>
        <w:ind w:left="709" w:hanging="283"/>
        <w:jc w:val="left"/>
        <w:rPr/>
      </w:pPr>
      <w:r>
        <w:rPr/>
        <w:t>Plan de reprise d'activité (PRA)</w:t>
      </w:r>
    </w:p>
    <w:p>
      <w:pPr>
        <w:pStyle w:val="Corpsdetexte"/>
        <w:numPr>
          <w:ilvl w:val="0"/>
          <w:numId w:val="3"/>
        </w:numPr>
        <w:tabs>
          <w:tab w:val="clear" w:pos="709"/>
          <w:tab w:val="left" w:pos="709" w:leader="none"/>
        </w:tabs>
        <w:bidi w:val="0"/>
        <w:spacing w:before="0" w:after="0"/>
        <w:ind w:left="709" w:hanging="283"/>
        <w:jc w:val="left"/>
        <w:rPr/>
      </w:pPr>
      <w:r>
        <w:rPr/>
        <w:t>Identification des processus critiques</w:t>
      </w:r>
    </w:p>
    <w:p>
      <w:pPr>
        <w:pStyle w:val="Corpsdetexte"/>
        <w:numPr>
          <w:ilvl w:val="0"/>
          <w:numId w:val="3"/>
        </w:numPr>
        <w:tabs>
          <w:tab w:val="clear" w:pos="709"/>
          <w:tab w:val="left" w:pos="709" w:leader="none"/>
        </w:tabs>
        <w:bidi w:val="0"/>
        <w:spacing w:before="0" w:after="0"/>
        <w:ind w:left="709" w:hanging="283"/>
        <w:jc w:val="left"/>
        <w:rPr/>
      </w:pPr>
      <w:r>
        <w:rPr/>
        <w:t>Stratégies de sauvegarde et de restauration</w:t>
      </w:r>
    </w:p>
    <w:p>
      <w:pPr>
        <w:pStyle w:val="Corpsdetexte"/>
        <w:numPr>
          <w:ilvl w:val="0"/>
          <w:numId w:val="3"/>
        </w:numPr>
        <w:tabs>
          <w:tab w:val="clear" w:pos="709"/>
          <w:tab w:val="left" w:pos="709" w:leader="none"/>
        </w:tabs>
        <w:bidi w:val="0"/>
        <w:ind w:left="709" w:hanging="283"/>
        <w:jc w:val="left"/>
        <w:rPr/>
      </w:pPr>
      <w:r>
        <w:rPr/>
        <w:t>Tests et exercices réguliers</w:t>
      </w:r>
    </w:p>
    <w:p>
      <w:pPr>
        <w:pStyle w:val="Lignehorizontale"/>
        <w:bidi w:val="0"/>
        <w:jc w:val="left"/>
        <w:rPr/>
      </w:pPr>
      <w:r>
        <w:rPr/>
      </w:r>
    </w:p>
    <w:p>
      <w:pPr>
        <w:pStyle w:val="Titre2"/>
        <w:bidi w:val="0"/>
        <w:jc w:val="left"/>
        <w:rPr/>
      </w:pPr>
      <w:r>
        <w:rPr/>
        <w:t>4. Politique de Gestion des Incidents</w:t>
      </w:r>
    </w:p>
    <w:p>
      <w:pPr>
        <w:pStyle w:val="Titre3"/>
        <w:bidi w:val="0"/>
        <w:jc w:val="left"/>
        <w:rPr/>
      </w:pPr>
      <w:r>
        <w:rPr/>
        <w:t>4.1 Objectif</w:t>
      </w:r>
    </w:p>
    <w:p>
      <w:pPr>
        <w:pStyle w:val="Corpsdetexte"/>
        <w:bidi w:val="0"/>
        <w:spacing w:lineRule="auto" w:line="276" w:before="0" w:after="140"/>
        <w:jc w:val="left"/>
        <w:rPr/>
      </w:pPr>
      <w:r>
        <w:rPr/>
        <w:t>Identifier, analyser et gérer efficacement les incidents de sécurité pour minimiser leur impact.</w:t>
      </w:r>
    </w:p>
    <w:p>
      <w:pPr>
        <w:pStyle w:val="Titre3"/>
        <w:bidi w:val="0"/>
        <w:jc w:val="left"/>
        <w:rPr/>
      </w:pPr>
      <w:r>
        <w:rPr/>
        <w:t>4.2 Contenu</w:t>
      </w:r>
    </w:p>
    <w:p>
      <w:pPr>
        <w:pStyle w:val="Corpsdetexte"/>
        <w:numPr>
          <w:ilvl w:val="0"/>
          <w:numId w:val="4"/>
        </w:numPr>
        <w:tabs>
          <w:tab w:val="clear" w:pos="709"/>
          <w:tab w:val="left" w:pos="709" w:leader="none"/>
        </w:tabs>
        <w:bidi w:val="0"/>
        <w:spacing w:before="0" w:after="0"/>
        <w:ind w:left="709" w:hanging="283"/>
        <w:jc w:val="left"/>
        <w:rPr/>
      </w:pPr>
      <w:r>
        <w:rPr/>
        <w:t>Procédures de signalement et d'enregistrement des incidents</w:t>
      </w:r>
    </w:p>
    <w:p>
      <w:pPr>
        <w:pStyle w:val="Corpsdetexte"/>
        <w:numPr>
          <w:ilvl w:val="0"/>
          <w:numId w:val="4"/>
        </w:numPr>
        <w:tabs>
          <w:tab w:val="clear" w:pos="709"/>
          <w:tab w:val="left" w:pos="709" w:leader="none"/>
        </w:tabs>
        <w:bidi w:val="0"/>
        <w:spacing w:before="0" w:after="0"/>
        <w:ind w:left="709" w:hanging="283"/>
        <w:jc w:val="left"/>
        <w:rPr/>
      </w:pPr>
      <w:r>
        <w:rPr/>
        <w:t>Analyse et classification des incidents</w:t>
      </w:r>
    </w:p>
    <w:p>
      <w:pPr>
        <w:pStyle w:val="Corpsdetexte"/>
        <w:numPr>
          <w:ilvl w:val="0"/>
          <w:numId w:val="4"/>
        </w:numPr>
        <w:tabs>
          <w:tab w:val="clear" w:pos="709"/>
          <w:tab w:val="left" w:pos="709" w:leader="none"/>
        </w:tabs>
        <w:bidi w:val="0"/>
        <w:spacing w:before="0" w:after="0"/>
        <w:ind w:left="709" w:hanging="283"/>
        <w:jc w:val="left"/>
        <w:rPr/>
      </w:pPr>
      <w:r>
        <w:rPr/>
        <w:t>Actions correctives et préventives</w:t>
      </w:r>
    </w:p>
    <w:p>
      <w:pPr>
        <w:pStyle w:val="Corpsdetexte"/>
        <w:numPr>
          <w:ilvl w:val="0"/>
          <w:numId w:val="4"/>
        </w:numPr>
        <w:tabs>
          <w:tab w:val="clear" w:pos="709"/>
          <w:tab w:val="left" w:pos="709" w:leader="none"/>
        </w:tabs>
        <w:bidi w:val="0"/>
        <w:ind w:left="709" w:hanging="283"/>
        <w:jc w:val="left"/>
        <w:rPr/>
      </w:pPr>
      <w:r>
        <w:rPr/>
        <w:t>Communication et rapports sur les incidents</w:t>
      </w:r>
    </w:p>
    <w:p>
      <w:pPr>
        <w:pStyle w:val="Lignehorizontale"/>
        <w:bidi w:val="0"/>
        <w:jc w:val="left"/>
        <w:rPr/>
      </w:pPr>
      <w:r>
        <w:rPr/>
      </w:r>
    </w:p>
    <w:p>
      <w:pPr>
        <w:pStyle w:val="Titre2"/>
        <w:bidi w:val="0"/>
        <w:jc w:val="left"/>
        <w:rPr/>
      </w:pPr>
      <w:r>
        <w:rPr/>
        <w:t>5. Politique de Gestion des Changements</w:t>
      </w:r>
    </w:p>
    <w:p>
      <w:pPr>
        <w:pStyle w:val="Titre3"/>
        <w:bidi w:val="0"/>
        <w:jc w:val="left"/>
        <w:rPr/>
      </w:pPr>
      <w:r>
        <w:rPr/>
        <w:t>5.1 Objectif</w:t>
      </w:r>
    </w:p>
    <w:p>
      <w:pPr>
        <w:pStyle w:val="Corpsdetexte"/>
        <w:bidi w:val="0"/>
        <w:spacing w:lineRule="auto" w:line="276" w:before="0" w:after="140"/>
        <w:jc w:val="left"/>
        <w:rPr/>
      </w:pPr>
      <w:r>
        <w:rPr/>
        <w:t>Assurer que tous les changements apportés aux systèmes informatiques sont réalisés de manière contrôlée et coordonnée.</w:t>
      </w:r>
    </w:p>
    <w:p>
      <w:pPr>
        <w:pStyle w:val="Titre3"/>
        <w:bidi w:val="0"/>
        <w:jc w:val="left"/>
        <w:rPr/>
      </w:pPr>
      <w:r>
        <w:rPr/>
        <w:t>5.2 Contenu</w:t>
      </w:r>
    </w:p>
    <w:p>
      <w:pPr>
        <w:pStyle w:val="Corpsdetexte"/>
        <w:numPr>
          <w:ilvl w:val="0"/>
          <w:numId w:val="5"/>
        </w:numPr>
        <w:tabs>
          <w:tab w:val="clear" w:pos="709"/>
          <w:tab w:val="left" w:pos="709" w:leader="none"/>
        </w:tabs>
        <w:bidi w:val="0"/>
        <w:spacing w:before="0" w:after="0"/>
        <w:ind w:left="709" w:hanging="283"/>
        <w:jc w:val="left"/>
        <w:rPr/>
      </w:pPr>
      <w:r>
        <w:rPr/>
        <w:t>Processus de demande de changement</w:t>
      </w:r>
    </w:p>
    <w:p>
      <w:pPr>
        <w:pStyle w:val="Corpsdetexte"/>
        <w:numPr>
          <w:ilvl w:val="0"/>
          <w:numId w:val="5"/>
        </w:numPr>
        <w:tabs>
          <w:tab w:val="clear" w:pos="709"/>
          <w:tab w:val="left" w:pos="709" w:leader="none"/>
        </w:tabs>
        <w:bidi w:val="0"/>
        <w:spacing w:before="0" w:after="0"/>
        <w:ind w:left="709" w:hanging="283"/>
        <w:jc w:val="left"/>
        <w:rPr/>
      </w:pPr>
      <w:r>
        <w:rPr/>
        <w:t>Évaluation des impacts et des risques</w:t>
      </w:r>
    </w:p>
    <w:p>
      <w:pPr>
        <w:pStyle w:val="Corpsdetexte"/>
        <w:numPr>
          <w:ilvl w:val="0"/>
          <w:numId w:val="5"/>
        </w:numPr>
        <w:tabs>
          <w:tab w:val="clear" w:pos="709"/>
          <w:tab w:val="left" w:pos="709" w:leader="none"/>
        </w:tabs>
        <w:bidi w:val="0"/>
        <w:spacing w:before="0" w:after="0"/>
        <w:ind w:left="709" w:hanging="283"/>
        <w:jc w:val="left"/>
        <w:rPr/>
      </w:pPr>
      <w:r>
        <w:rPr/>
        <w:t>Approbation et mise en œuvre des changements</w:t>
      </w:r>
    </w:p>
    <w:p>
      <w:pPr>
        <w:pStyle w:val="Corpsdetexte"/>
        <w:numPr>
          <w:ilvl w:val="0"/>
          <w:numId w:val="5"/>
        </w:numPr>
        <w:tabs>
          <w:tab w:val="clear" w:pos="709"/>
          <w:tab w:val="left" w:pos="709" w:leader="none"/>
        </w:tabs>
        <w:bidi w:val="0"/>
        <w:ind w:left="709" w:hanging="283"/>
        <w:jc w:val="left"/>
        <w:rPr/>
      </w:pPr>
      <w:r>
        <w:rPr/>
        <w:t>Documentation et communication des changements</w:t>
      </w:r>
    </w:p>
    <w:p>
      <w:pPr>
        <w:pStyle w:val="Lignehorizontale"/>
        <w:bidi w:val="0"/>
        <w:jc w:val="left"/>
        <w:rPr/>
      </w:pPr>
      <w:r>
        <w:rPr/>
      </w:r>
    </w:p>
    <w:p>
      <w:pPr>
        <w:pStyle w:val="Titre2"/>
        <w:bidi w:val="0"/>
        <w:jc w:val="left"/>
        <w:rPr/>
      </w:pPr>
      <w:r>
        <w:rPr/>
        <w:t>6. Politique de Gestion des Actifs</w:t>
      </w:r>
    </w:p>
    <w:p>
      <w:pPr>
        <w:pStyle w:val="Titre3"/>
        <w:bidi w:val="0"/>
        <w:jc w:val="left"/>
        <w:rPr/>
      </w:pPr>
      <w:r>
        <w:rPr/>
        <w:t>6.1 Objectif</w:t>
      </w:r>
    </w:p>
    <w:p>
      <w:pPr>
        <w:pStyle w:val="Corpsdetexte"/>
        <w:bidi w:val="0"/>
        <w:spacing w:lineRule="auto" w:line="276" w:before="0" w:after="140"/>
        <w:jc w:val="left"/>
        <w:rPr/>
      </w:pPr>
      <w:r>
        <w:rPr/>
        <w:t>Gérer et protéger les actifs informatiques de l'organisation tout au long de leur cycle de vie.</w:t>
      </w:r>
    </w:p>
    <w:p>
      <w:pPr>
        <w:pStyle w:val="Titre3"/>
        <w:bidi w:val="0"/>
        <w:jc w:val="left"/>
        <w:rPr/>
      </w:pPr>
      <w:r>
        <w:rPr/>
        <w:t>6.2 Contenu</w:t>
      </w:r>
    </w:p>
    <w:p>
      <w:pPr>
        <w:pStyle w:val="Corpsdetexte"/>
        <w:numPr>
          <w:ilvl w:val="0"/>
          <w:numId w:val="6"/>
        </w:numPr>
        <w:tabs>
          <w:tab w:val="clear" w:pos="709"/>
          <w:tab w:val="left" w:pos="709" w:leader="none"/>
        </w:tabs>
        <w:bidi w:val="0"/>
        <w:spacing w:before="0" w:after="0"/>
        <w:ind w:left="709" w:hanging="283"/>
        <w:jc w:val="left"/>
        <w:rPr/>
      </w:pPr>
      <w:r>
        <w:rPr/>
        <w:t>Inventaire des actifs</w:t>
      </w:r>
    </w:p>
    <w:p>
      <w:pPr>
        <w:pStyle w:val="Corpsdetexte"/>
        <w:numPr>
          <w:ilvl w:val="0"/>
          <w:numId w:val="6"/>
        </w:numPr>
        <w:tabs>
          <w:tab w:val="clear" w:pos="709"/>
          <w:tab w:val="left" w:pos="709" w:leader="none"/>
        </w:tabs>
        <w:bidi w:val="0"/>
        <w:spacing w:before="0" w:after="0"/>
        <w:ind w:left="709" w:hanging="283"/>
        <w:jc w:val="left"/>
        <w:rPr/>
      </w:pPr>
      <w:r>
        <w:rPr/>
        <w:t>Classification et étiquetage des actifs</w:t>
      </w:r>
    </w:p>
    <w:p>
      <w:pPr>
        <w:pStyle w:val="Corpsdetexte"/>
        <w:numPr>
          <w:ilvl w:val="0"/>
          <w:numId w:val="6"/>
        </w:numPr>
        <w:tabs>
          <w:tab w:val="clear" w:pos="709"/>
          <w:tab w:val="left" w:pos="709" w:leader="none"/>
        </w:tabs>
        <w:bidi w:val="0"/>
        <w:spacing w:before="0" w:after="0"/>
        <w:ind w:left="709" w:hanging="283"/>
        <w:jc w:val="left"/>
        <w:rPr/>
      </w:pPr>
      <w:r>
        <w:rPr/>
        <w:t>Maintenance et mise à jour des actifs</w:t>
      </w:r>
    </w:p>
    <w:p>
      <w:pPr>
        <w:pStyle w:val="Corpsdetexte"/>
        <w:numPr>
          <w:ilvl w:val="0"/>
          <w:numId w:val="6"/>
        </w:numPr>
        <w:tabs>
          <w:tab w:val="clear" w:pos="709"/>
          <w:tab w:val="left" w:pos="709" w:leader="none"/>
        </w:tabs>
        <w:bidi w:val="0"/>
        <w:ind w:left="709" w:hanging="283"/>
        <w:jc w:val="left"/>
        <w:rPr/>
      </w:pPr>
      <w:r>
        <w:rPr/>
        <w:t>Disposition sécurisée des actifs en fin de vie</w:t>
      </w:r>
    </w:p>
    <w:p>
      <w:pPr>
        <w:pStyle w:val="Lignehorizontale"/>
        <w:bidi w:val="0"/>
        <w:jc w:val="left"/>
        <w:rPr/>
      </w:pPr>
      <w:r>
        <w:rPr/>
      </w:r>
    </w:p>
    <w:p>
      <w:pPr>
        <w:pStyle w:val="Titre2"/>
        <w:bidi w:val="0"/>
        <w:jc w:val="left"/>
        <w:rPr/>
      </w:pPr>
      <w:r>
        <w:rPr/>
        <w:t>7. Politique de Gestion des Mises à Jour et des Correctifs</w:t>
      </w:r>
    </w:p>
    <w:p>
      <w:pPr>
        <w:pStyle w:val="Titre3"/>
        <w:bidi w:val="0"/>
        <w:jc w:val="left"/>
        <w:rPr/>
      </w:pPr>
      <w:r>
        <w:rPr/>
        <w:t>7.1 Objectif</w:t>
      </w:r>
    </w:p>
    <w:p>
      <w:pPr>
        <w:pStyle w:val="Corpsdetexte"/>
        <w:bidi w:val="0"/>
        <w:spacing w:lineRule="auto" w:line="276" w:before="0" w:after="140"/>
        <w:jc w:val="left"/>
        <w:rPr/>
      </w:pPr>
      <w:r>
        <w:rPr/>
        <w:t>Maintenir les systèmes et logiciels à jour pour protéger contre les vulnérabilités connues.</w:t>
      </w:r>
    </w:p>
    <w:p>
      <w:pPr>
        <w:pStyle w:val="Titre3"/>
        <w:bidi w:val="0"/>
        <w:jc w:val="left"/>
        <w:rPr/>
      </w:pPr>
      <w:r>
        <w:rPr/>
        <w:t>7.2 Contenu</w:t>
      </w:r>
    </w:p>
    <w:p>
      <w:pPr>
        <w:pStyle w:val="Corpsdetexte"/>
        <w:numPr>
          <w:ilvl w:val="0"/>
          <w:numId w:val="7"/>
        </w:numPr>
        <w:tabs>
          <w:tab w:val="clear" w:pos="709"/>
          <w:tab w:val="left" w:pos="709" w:leader="none"/>
        </w:tabs>
        <w:bidi w:val="0"/>
        <w:spacing w:before="0" w:after="0"/>
        <w:ind w:left="709" w:hanging="283"/>
        <w:jc w:val="left"/>
        <w:rPr/>
      </w:pPr>
      <w:r>
        <w:rPr/>
        <w:t>Identification des mises à jour et des correctifs</w:t>
      </w:r>
    </w:p>
    <w:p>
      <w:pPr>
        <w:pStyle w:val="Corpsdetexte"/>
        <w:numPr>
          <w:ilvl w:val="0"/>
          <w:numId w:val="7"/>
        </w:numPr>
        <w:tabs>
          <w:tab w:val="clear" w:pos="709"/>
          <w:tab w:val="left" w:pos="709" w:leader="none"/>
        </w:tabs>
        <w:bidi w:val="0"/>
        <w:spacing w:before="0" w:after="0"/>
        <w:ind w:left="709" w:hanging="283"/>
        <w:jc w:val="left"/>
        <w:rPr/>
      </w:pPr>
      <w:r>
        <w:rPr/>
        <w:t>Évaluation des impacts et des risques</w:t>
      </w:r>
    </w:p>
    <w:p>
      <w:pPr>
        <w:pStyle w:val="Corpsdetexte"/>
        <w:numPr>
          <w:ilvl w:val="0"/>
          <w:numId w:val="7"/>
        </w:numPr>
        <w:tabs>
          <w:tab w:val="clear" w:pos="709"/>
          <w:tab w:val="left" w:pos="709" w:leader="none"/>
        </w:tabs>
        <w:bidi w:val="0"/>
        <w:spacing w:before="0" w:after="0"/>
        <w:ind w:left="709" w:hanging="283"/>
        <w:jc w:val="left"/>
        <w:rPr/>
      </w:pPr>
      <w:r>
        <w:rPr/>
        <w:t>Planification et déploiement des mises à jour</w:t>
      </w:r>
    </w:p>
    <w:p>
      <w:pPr>
        <w:pStyle w:val="Corpsdetexte"/>
        <w:numPr>
          <w:ilvl w:val="0"/>
          <w:numId w:val="7"/>
        </w:numPr>
        <w:tabs>
          <w:tab w:val="clear" w:pos="709"/>
          <w:tab w:val="left" w:pos="709" w:leader="none"/>
        </w:tabs>
        <w:bidi w:val="0"/>
        <w:ind w:left="709" w:hanging="283"/>
        <w:jc w:val="left"/>
        <w:rPr/>
      </w:pPr>
      <w:r>
        <w:rPr/>
        <w:t>Surveillance et vérification post-déploiement</w:t>
      </w:r>
    </w:p>
    <w:p>
      <w:pPr>
        <w:pStyle w:val="Lignehorizontale"/>
        <w:bidi w:val="0"/>
        <w:jc w:val="left"/>
        <w:rPr/>
      </w:pPr>
      <w:r>
        <w:rPr/>
      </w:r>
    </w:p>
    <w:p>
      <w:pPr>
        <w:pStyle w:val="Titre2"/>
        <w:bidi w:val="0"/>
        <w:jc w:val="left"/>
        <w:rPr/>
      </w:pPr>
      <w:r>
        <w:rPr/>
        <w:t>8. Politique de Protection des Données</w:t>
      </w:r>
    </w:p>
    <w:p>
      <w:pPr>
        <w:pStyle w:val="Titre3"/>
        <w:bidi w:val="0"/>
        <w:jc w:val="left"/>
        <w:rPr/>
      </w:pPr>
      <w:r>
        <w:rPr/>
        <w:t>8.1 Objectif</w:t>
      </w:r>
    </w:p>
    <w:p>
      <w:pPr>
        <w:pStyle w:val="Corpsdetexte"/>
        <w:bidi w:val="0"/>
        <w:spacing w:lineRule="auto" w:line="276" w:before="0" w:after="140"/>
        <w:jc w:val="left"/>
        <w:rPr/>
      </w:pPr>
      <w:r>
        <w:rPr/>
        <w:t>Assurer la protection des données personnelles et sensibles conformément aux lois et réglementations, notamment le RGPD.</w:t>
      </w:r>
    </w:p>
    <w:p>
      <w:pPr>
        <w:pStyle w:val="Titre3"/>
        <w:bidi w:val="0"/>
        <w:jc w:val="left"/>
        <w:rPr/>
      </w:pPr>
      <w:r>
        <w:rPr/>
        <w:t>8.2 Contenu</w:t>
      </w:r>
    </w:p>
    <w:p>
      <w:pPr>
        <w:pStyle w:val="Corpsdetexte"/>
        <w:numPr>
          <w:ilvl w:val="0"/>
          <w:numId w:val="8"/>
        </w:numPr>
        <w:tabs>
          <w:tab w:val="clear" w:pos="709"/>
          <w:tab w:val="left" w:pos="709" w:leader="none"/>
        </w:tabs>
        <w:bidi w:val="0"/>
        <w:spacing w:before="0" w:after="0"/>
        <w:ind w:left="709" w:hanging="283"/>
        <w:jc w:val="left"/>
        <w:rPr/>
      </w:pPr>
      <w:r>
        <w:rPr/>
        <w:t>Principes de protection des données</w:t>
      </w:r>
    </w:p>
    <w:p>
      <w:pPr>
        <w:pStyle w:val="Corpsdetexte"/>
        <w:numPr>
          <w:ilvl w:val="0"/>
          <w:numId w:val="8"/>
        </w:numPr>
        <w:tabs>
          <w:tab w:val="clear" w:pos="709"/>
          <w:tab w:val="left" w:pos="709" w:leader="none"/>
        </w:tabs>
        <w:bidi w:val="0"/>
        <w:spacing w:before="0" w:after="0"/>
        <w:ind w:left="709" w:hanging="283"/>
        <w:jc w:val="left"/>
        <w:rPr/>
      </w:pPr>
      <w:r>
        <w:rPr/>
        <w:t>Consentement et droits des individus</w:t>
      </w:r>
    </w:p>
    <w:p>
      <w:pPr>
        <w:pStyle w:val="Corpsdetexte"/>
        <w:numPr>
          <w:ilvl w:val="0"/>
          <w:numId w:val="8"/>
        </w:numPr>
        <w:tabs>
          <w:tab w:val="clear" w:pos="709"/>
          <w:tab w:val="left" w:pos="709" w:leader="none"/>
        </w:tabs>
        <w:bidi w:val="0"/>
        <w:spacing w:before="0" w:after="0"/>
        <w:ind w:left="709" w:hanging="283"/>
        <w:jc w:val="left"/>
        <w:rPr/>
      </w:pPr>
      <w:r>
        <w:rPr/>
        <w:t>Mesures de sécurité pour les données</w:t>
      </w:r>
    </w:p>
    <w:p>
      <w:pPr>
        <w:pStyle w:val="Corpsdetexte"/>
        <w:numPr>
          <w:ilvl w:val="0"/>
          <w:numId w:val="8"/>
        </w:numPr>
        <w:tabs>
          <w:tab w:val="clear" w:pos="709"/>
          <w:tab w:val="left" w:pos="709" w:leader="none"/>
        </w:tabs>
        <w:bidi w:val="0"/>
        <w:spacing w:before="0" w:after="0"/>
        <w:ind w:left="709" w:hanging="283"/>
        <w:jc w:val="left"/>
        <w:rPr/>
      </w:pPr>
      <w:r>
        <w:rPr/>
        <w:t>Notifications des violations de données</w:t>
      </w:r>
    </w:p>
    <w:p>
      <w:pPr>
        <w:pStyle w:val="Corpsdetexte"/>
        <w:numPr>
          <w:ilvl w:val="0"/>
          <w:numId w:val="8"/>
        </w:numPr>
        <w:tabs>
          <w:tab w:val="clear" w:pos="709"/>
          <w:tab w:val="left" w:pos="709" w:leader="none"/>
        </w:tabs>
        <w:bidi w:val="0"/>
        <w:ind w:left="709" w:hanging="283"/>
        <w:jc w:val="left"/>
        <w:rPr/>
      </w:pPr>
      <w:r>
        <w:rPr/>
        <w:t>Formation et sensibilisation à la protection des données</w:t>
      </w:r>
    </w:p>
    <w:p>
      <w:pPr>
        <w:pStyle w:val="Lignehorizontale"/>
        <w:bidi w:val="0"/>
        <w:jc w:val="left"/>
        <w:rPr/>
      </w:pPr>
      <w:r>
        <w:rPr/>
      </w:r>
    </w:p>
    <w:p>
      <w:pPr>
        <w:pStyle w:val="Titre2"/>
        <w:bidi w:val="0"/>
        <w:jc w:val="left"/>
        <w:rPr/>
      </w:pPr>
      <w:r>
        <w:rPr/>
        <w:t>9. Politique de Sensibilisation et de Formation à la Sécurité</w:t>
      </w:r>
    </w:p>
    <w:p>
      <w:pPr>
        <w:pStyle w:val="Titre3"/>
        <w:bidi w:val="0"/>
        <w:jc w:val="left"/>
        <w:rPr/>
      </w:pPr>
      <w:r>
        <w:rPr/>
        <w:t>9.1 Objectif</w:t>
      </w:r>
    </w:p>
    <w:p>
      <w:pPr>
        <w:pStyle w:val="Corpsdetexte"/>
        <w:bidi w:val="0"/>
        <w:spacing w:lineRule="auto" w:line="276" w:before="0" w:after="140"/>
        <w:jc w:val="left"/>
        <w:rPr/>
      </w:pPr>
      <w:r>
        <w:rPr/>
        <w:t>Former et sensibiliser les employés aux bonnes pratiques de sécurité informatique.</w:t>
      </w:r>
    </w:p>
    <w:p>
      <w:pPr>
        <w:pStyle w:val="Titre3"/>
        <w:bidi w:val="0"/>
        <w:jc w:val="left"/>
        <w:rPr/>
      </w:pPr>
      <w:r>
        <w:rPr/>
        <w:t>9.2 Contenu</w:t>
      </w:r>
    </w:p>
    <w:p>
      <w:pPr>
        <w:pStyle w:val="Corpsdetexte"/>
        <w:numPr>
          <w:ilvl w:val="0"/>
          <w:numId w:val="9"/>
        </w:numPr>
        <w:tabs>
          <w:tab w:val="clear" w:pos="709"/>
          <w:tab w:val="left" w:pos="709" w:leader="none"/>
        </w:tabs>
        <w:bidi w:val="0"/>
        <w:spacing w:before="0" w:after="0"/>
        <w:ind w:left="709" w:hanging="283"/>
        <w:jc w:val="left"/>
        <w:rPr/>
      </w:pPr>
      <w:r>
        <w:rPr/>
        <w:t>Programmes de formation initiale et continue</w:t>
      </w:r>
    </w:p>
    <w:p>
      <w:pPr>
        <w:pStyle w:val="Corpsdetexte"/>
        <w:numPr>
          <w:ilvl w:val="0"/>
          <w:numId w:val="9"/>
        </w:numPr>
        <w:tabs>
          <w:tab w:val="clear" w:pos="709"/>
          <w:tab w:val="left" w:pos="709" w:leader="none"/>
        </w:tabs>
        <w:bidi w:val="0"/>
        <w:spacing w:before="0" w:after="0"/>
        <w:ind w:left="709" w:hanging="283"/>
        <w:jc w:val="left"/>
        <w:rPr/>
      </w:pPr>
      <w:r>
        <w:rPr/>
        <w:t>Campagnes de sensibilisation régulières</w:t>
      </w:r>
    </w:p>
    <w:p>
      <w:pPr>
        <w:pStyle w:val="Corpsdetexte"/>
        <w:numPr>
          <w:ilvl w:val="0"/>
          <w:numId w:val="9"/>
        </w:numPr>
        <w:tabs>
          <w:tab w:val="clear" w:pos="709"/>
          <w:tab w:val="left" w:pos="709" w:leader="none"/>
        </w:tabs>
        <w:bidi w:val="0"/>
        <w:spacing w:before="0" w:after="0"/>
        <w:ind w:left="709" w:hanging="283"/>
        <w:jc w:val="left"/>
        <w:rPr/>
      </w:pPr>
      <w:r>
        <w:rPr/>
        <w:t>Évaluation des connaissances et des compétences</w:t>
      </w:r>
    </w:p>
    <w:p>
      <w:pPr>
        <w:pStyle w:val="Corpsdetexte"/>
        <w:numPr>
          <w:ilvl w:val="0"/>
          <w:numId w:val="9"/>
        </w:numPr>
        <w:tabs>
          <w:tab w:val="clear" w:pos="709"/>
          <w:tab w:val="left" w:pos="709" w:leader="none"/>
        </w:tabs>
        <w:bidi w:val="0"/>
        <w:ind w:left="709" w:hanging="283"/>
        <w:jc w:val="left"/>
        <w:rPr/>
      </w:pPr>
      <w:r>
        <w:rPr/>
        <w:t>Documentation et ressources de formation</w:t>
      </w:r>
    </w:p>
    <w:p>
      <w:pPr>
        <w:pStyle w:val="Lignehorizontale"/>
        <w:bidi w:val="0"/>
        <w:jc w:val="left"/>
        <w:rPr/>
      </w:pPr>
      <w:r>
        <w:rPr/>
      </w:r>
    </w:p>
    <w:p>
      <w:pPr>
        <w:pStyle w:val="Titre2"/>
        <w:bidi w:val="0"/>
        <w:jc w:val="left"/>
        <w:rPr/>
      </w:pPr>
      <w:r>
        <w:rPr/>
        <w:t>10. Politique de Gestion des Fournisseurs et des Prestataires</w:t>
      </w:r>
    </w:p>
    <w:p>
      <w:pPr>
        <w:pStyle w:val="Titre3"/>
        <w:bidi w:val="0"/>
        <w:jc w:val="left"/>
        <w:rPr/>
      </w:pPr>
      <w:r>
        <w:rPr/>
        <w:t>10.1 Objectif</w:t>
      </w:r>
    </w:p>
    <w:p>
      <w:pPr>
        <w:pStyle w:val="Corpsdetexte"/>
        <w:bidi w:val="0"/>
        <w:spacing w:lineRule="auto" w:line="276" w:before="0" w:after="140"/>
        <w:jc w:val="left"/>
        <w:rPr/>
      </w:pPr>
      <w:r>
        <w:rPr/>
        <w:t>Gérer les risques associés aux fournisseurs et aux prestataires tiers.</w:t>
      </w:r>
    </w:p>
    <w:p>
      <w:pPr>
        <w:pStyle w:val="Titre3"/>
        <w:bidi w:val="0"/>
        <w:jc w:val="left"/>
        <w:rPr/>
      </w:pPr>
      <w:r>
        <w:rPr/>
        <w:t>10.2 Contenu</w:t>
      </w:r>
    </w:p>
    <w:p>
      <w:pPr>
        <w:pStyle w:val="Corpsdetexte"/>
        <w:numPr>
          <w:ilvl w:val="0"/>
          <w:numId w:val="10"/>
        </w:numPr>
        <w:tabs>
          <w:tab w:val="clear" w:pos="709"/>
          <w:tab w:val="left" w:pos="709" w:leader="none"/>
        </w:tabs>
        <w:bidi w:val="0"/>
        <w:spacing w:before="0" w:after="0"/>
        <w:ind w:left="709" w:hanging="283"/>
        <w:jc w:val="left"/>
        <w:rPr/>
      </w:pPr>
      <w:r>
        <w:rPr/>
        <w:t>Évaluation des risques fournisseurs</w:t>
      </w:r>
    </w:p>
    <w:p>
      <w:pPr>
        <w:pStyle w:val="Corpsdetexte"/>
        <w:numPr>
          <w:ilvl w:val="0"/>
          <w:numId w:val="10"/>
        </w:numPr>
        <w:tabs>
          <w:tab w:val="clear" w:pos="709"/>
          <w:tab w:val="left" w:pos="709" w:leader="none"/>
        </w:tabs>
        <w:bidi w:val="0"/>
        <w:spacing w:before="0" w:after="0"/>
        <w:ind w:left="709" w:hanging="283"/>
        <w:jc w:val="left"/>
        <w:rPr/>
      </w:pPr>
      <w:r>
        <w:rPr/>
        <w:t>Clauses contractuelles de sécurité</w:t>
      </w:r>
    </w:p>
    <w:p>
      <w:pPr>
        <w:pStyle w:val="Corpsdetexte"/>
        <w:numPr>
          <w:ilvl w:val="0"/>
          <w:numId w:val="10"/>
        </w:numPr>
        <w:tabs>
          <w:tab w:val="clear" w:pos="709"/>
          <w:tab w:val="left" w:pos="709" w:leader="none"/>
        </w:tabs>
        <w:bidi w:val="0"/>
        <w:spacing w:before="0" w:after="0"/>
        <w:ind w:left="709" w:hanging="283"/>
        <w:jc w:val="left"/>
        <w:rPr/>
      </w:pPr>
      <w:r>
        <w:rPr/>
        <w:t>Surveillance et audits des fournisseurs</w:t>
      </w:r>
    </w:p>
    <w:p>
      <w:pPr>
        <w:pStyle w:val="Corpsdetexte"/>
        <w:numPr>
          <w:ilvl w:val="0"/>
          <w:numId w:val="10"/>
        </w:numPr>
        <w:tabs>
          <w:tab w:val="clear" w:pos="709"/>
          <w:tab w:val="left" w:pos="709" w:leader="none"/>
        </w:tabs>
        <w:bidi w:val="0"/>
        <w:ind w:left="709" w:hanging="283"/>
        <w:jc w:val="left"/>
        <w:rPr/>
      </w:pPr>
      <w:r>
        <w:rPr/>
        <w:t>Plan de gestion des incidents fournisseurs</w:t>
      </w:r>
    </w:p>
    <w:p>
      <w:pPr>
        <w:pStyle w:val="Lignehorizontale"/>
        <w:bidi w:val="0"/>
        <w:jc w:val="left"/>
        <w:rPr/>
      </w:pPr>
      <w:r>
        <w:rPr/>
      </w:r>
    </w:p>
    <w:p>
      <w:pPr>
        <w:pStyle w:val="Titre2"/>
        <w:bidi w:val="0"/>
        <w:jc w:val="left"/>
        <w:rPr/>
      </w:pPr>
      <w:r>
        <w:rPr/>
        <w:t>11. Politique d'Utilisation Acceptable des Ressources Informatiques</w:t>
      </w:r>
    </w:p>
    <w:p>
      <w:pPr>
        <w:pStyle w:val="Titre3"/>
        <w:bidi w:val="0"/>
        <w:jc w:val="left"/>
        <w:rPr/>
      </w:pPr>
      <w:r>
        <w:rPr/>
        <w:t>11.1 Objectif</w:t>
      </w:r>
    </w:p>
    <w:p>
      <w:pPr>
        <w:pStyle w:val="Corpsdetexte"/>
        <w:bidi w:val="0"/>
        <w:spacing w:lineRule="auto" w:line="276" w:before="0" w:after="140"/>
        <w:jc w:val="left"/>
        <w:rPr/>
      </w:pPr>
      <w:r>
        <w:rPr/>
        <w:t>Définir les règles d'utilisation acceptable des ressources informatiques par les utilisateurs.</w:t>
      </w:r>
    </w:p>
    <w:p>
      <w:pPr>
        <w:pStyle w:val="Titre3"/>
        <w:bidi w:val="0"/>
        <w:jc w:val="left"/>
        <w:rPr/>
      </w:pPr>
      <w:r>
        <w:rPr/>
        <w:t>11.2 Contenu</w:t>
      </w:r>
    </w:p>
    <w:p>
      <w:pPr>
        <w:pStyle w:val="Corpsdetexte"/>
        <w:numPr>
          <w:ilvl w:val="0"/>
          <w:numId w:val="11"/>
        </w:numPr>
        <w:tabs>
          <w:tab w:val="clear" w:pos="709"/>
          <w:tab w:val="left" w:pos="709" w:leader="none"/>
        </w:tabs>
        <w:bidi w:val="0"/>
        <w:spacing w:before="0" w:after="0"/>
        <w:ind w:left="709" w:hanging="283"/>
        <w:jc w:val="left"/>
        <w:rPr/>
      </w:pPr>
      <w:r>
        <w:rPr/>
        <w:t>Utilisation professionnelle et personnelle</w:t>
      </w:r>
    </w:p>
    <w:p>
      <w:pPr>
        <w:pStyle w:val="Corpsdetexte"/>
        <w:numPr>
          <w:ilvl w:val="0"/>
          <w:numId w:val="11"/>
        </w:numPr>
        <w:tabs>
          <w:tab w:val="clear" w:pos="709"/>
          <w:tab w:val="left" w:pos="709" w:leader="none"/>
        </w:tabs>
        <w:bidi w:val="0"/>
        <w:spacing w:before="0" w:after="0"/>
        <w:ind w:left="709" w:hanging="283"/>
        <w:jc w:val="left"/>
        <w:rPr/>
      </w:pPr>
      <w:r>
        <w:rPr/>
        <w:t>Activités interdites</w:t>
      </w:r>
    </w:p>
    <w:p>
      <w:pPr>
        <w:pStyle w:val="Corpsdetexte"/>
        <w:numPr>
          <w:ilvl w:val="0"/>
          <w:numId w:val="11"/>
        </w:numPr>
        <w:tabs>
          <w:tab w:val="clear" w:pos="709"/>
          <w:tab w:val="left" w:pos="709" w:leader="none"/>
        </w:tabs>
        <w:bidi w:val="0"/>
        <w:spacing w:before="0" w:after="0"/>
        <w:ind w:left="709" w:hanging="283"/>
        <w:jc w:val="left"/>
        <w:rPr/>
      </w:pPr>
      <w:r>
        <w:rPr/>
        <w:t>Respect de la confidentialité et de la propriété intellectuelle</w:t>
      </w:r>
    </w:p>
    <w:p>
      <w:pPr>
        <w:pStyle w:val="Corpsdetexte"/>
        <w:numPr>
          <w:ilvl w:val="0"/>
          <w:numId w:val="11"/>
        </w:numPr>
        <w:tabs>
          <w:tab w:val="clear" w:pos="709"/>
          <w:tab w:val="left" w:pos="709" w:leader="none"/>
        </w:tabs>
        <w:bidi w:val="0"/>
        <w:ind w:left="709" w:hanging="283"/>
        <w:jc w:val="left"/>
        <w:rPr/>
      </w:pPr>
      <w:r>
        <w:rPr/>
        <w:t>Conséquences en cas de non-respect</w:t>
      </w:r>
    </w:p>
    <w:p>
      <w:pPr>
        <w:pStyle w:val="Lignehorizontale"/>
        <w:bidi w:val="0"/>
        <w:jc w:val="left"/>
        <w:rPr/>
      </w:pPr>
      <w:r>
        <w:rPr/>
      </w:r>
    </w:p>
    <w:p>
      <w:pPr>
        <w:pStyle w:val="Titre2"/>
        <w:bidi w:val="0"/>
        <w:jc w:val="left"/>
        <w:rPr/>
      </w:pPr>
      <w:r>
        <w:rPr/>
        <w:t>12. Politique de Mobilité et de Télétravail</w:t>
      </w:r>
    </w:p>
    <w:p>
      <w:pPr>
        <w:pStyle w:val="Titre3"/>
        <w:bidi w:val="0"/>
        <w:jc w:val="left"/>
        <w:rPr/>
      </w:pPr>
      <w:r>
        <w:rPr/>
        <w:t>12.1 Objectif</w:t>
      </w:r>
    </w:p>
    <w:p>
      <w:pPr>
        <w:pStyle w:val="Corpsdetexte"/>
        <w:bidi w:val="0"/>
        <w:spacing w:lineRule="auto" w:line="276" w:before="0" w:after="140"/>
        <w:jc w:val="left"/>
        <w:rPr/>
      </w:pPr>
      <w:r>
        <w:rPr/>
        <w:t>Encadrer l'utilisation des dispositifs mobiles et le télétravail pour garantir la sécurité des informations.</w:t>
      </w:r>
    </w:p>
    <w:p>
      <w:pPr>
        <w:pStyle w:val="Titre3"/>
        <w:bidi w:val="0"/>
        <w:jc w:val="left"/>
        <w:rPr/>
      </w:pPr>
      <w:r>
        <w:rPr/>
        <w:t>12.2 Contenu</w:t>
      </w:r>
    </w:p>
    <w:p>
      <w:pPr>
        <w:pStyle w:val="Corpsdetexte"/>
        <w:numPr>
          <w:ilvl w:val="0"/>
          <w:numId w:val="12"/>
        </w:numPr>
        <w:tabs>
          <w:tab w:val="clear" w:pos="709"/>
          <w:tab w:val="left" w:pos="709" w:leader="none"/>
        </w:tabs>
        <w:bidi w:val="0"/>
        <w:spacing w:before="0" w:after="0"/>
        <w:ind w:left="709" w:hanging="283"/>
        <w:jc w:val="left"/>
        <w:rPr/>
      </w:pPr>
      <w:r>
        <w:rPr/>
        <w:t>Utilisation des dispositifs personnels (BYOD)</w:t>
      </w:r>
    </w:p>
    <w:p>
      <w:pPr>
        <w:pStyle w:val="Corpsdetexte"/>
        <w:numPr>
          <w:ilvl w:val="0"/>
          <w:numId w:val="12"/>
        </w:numPr>
        <w:tabs>
          <w:tab w:val="clear" w:pos="709"/>
          <w:tab w:val="left" w:pos="709" w:leader="none"/>
        </w:tabs>
        <w:bidi w:val="0"/>
        <w:spacing w:before="0" w:after="0"/>
        <w:ind w:left="709" w:hanging="283"/>
        <w:jc w:val="left"/>
        <w:rPr/>
      </w:pPr>
      <w:r>
        <w:rPr/>
        <w:t>Connexions sécurisées à distance</w:t>
      </w:r>
    </w:p>
    <w:p>
      <w:pPr>
        <w:pStyle w:val="Corpsdetexte"/>
        <w:numPr>
          <w:ilvl w:val="0"/>
          <w:numId w:val="12"/>
        </w:numPr>
        <w:tabs>
          <w:tab w:val="clear" w:pos="709"/>
          <w:tab w:val="left" w:pos="709" w:leader="none"/>
        </w:tabs>
        <w:bidi w:val="0"/>
        <w:spacing w:before="0" w:after="0"/>
        <w:ind w:left="709" w:hanging="283"/>
        <w:jc w:val="left"/>
        <w:rPr/>
      </w:pPr>
      <w:r>
        <w:rPr/>
        <w:t>Stockage et transmission sécurisés des données</w:t>
      </w:r>
    </w:p>
    <w:p>
      <w:pPr>
        <w:pStyle w:val="Corpsdetexte"/>
        <w:numPr>
          <w:ilvl w:val="0"/>
          <w:numId w:val="12"/>
        </w:numPr>
        <w:tabs>
          <w:tab w:val="clear" w:pos="709"/>
          <w:tab w:val="left" w:pos="709" w:leader="none"/>
        </w:tabs>
        <w:bidi w:val="0"/>
        <w:ind w:left="709" w:hanging="283"/>
        <w:jc w:val="left"/>
        <w:rPr/>
      </w:pPr>
      <w:r>
        <w:rPr/>
        <w:t>Responsabilités des utilisateurs en télétravail</w:t>
      </w:r>
    </w:p>
    <w:p>
      <w:pPr>
        <w:pStyle w:val="Lignehorizontale"/>
        <w:bidi w:val="0"/>
        <w:jc w:val="left"/>
        <w:rPr/>
      </w:pPr>
      <w:r>
        <w:rPr/>
      </w:r>
    </w:p>
    <w:p>
      <w:pPr>
        <w:pStyle w:val="Titre2"/>
        <w:bidi w:val="0"/>
        <w:jc w:val="left"/>
        <w:rPr/>
      </w:pPr>
      <w:r>
        <w:rPr/>
        <w:t>13. Politique de Gestion des Projets IT</w:t>
      </w:r>
    </w:p>
    <w:p>
      <w:pPr>
        <w:pStyle w:val="Titre3"/>
        <w:bidi w:val="0"/>
        <w:jc w:val="left"/>
        <w:rPr/>
      </w:pPr>
      <w:r>
        <w:rPr/>
        <w:t>13.1 Objectif</w:t>
      </w:r>
    </w:p>
    <w:p>
      <w:pPr>
        <w:pStyle w:val="Corpsdetexte"/>
        <w:bidi w:val="0"/>
        <w:spacing w:lineRule="auto" w:line="276" w:before="0" w:after="140"/>
        <w:jc w:val="left"/>
        <w:rPr/>
      </w:pPr>
      <w:r>
        <w:rPr/>
        <w:t>Assurer la gestion efficace des projets IT pour répondre aux besoins de l'organisation.</w:t>
      </w:r>
    </w:p>
    <w:p>
      <w:pPr>
        <w:pStyle w:val="Titre3"/>
        <w:bidi w:val="0"/>
        <w:jc w:val="left"/>
        <w:rPr/>
      </w:pPr>
      <w:r>
        <w:rPr/>
        <w:t>13.2 Contenu</w:t>
      </w:r>
    </w:p>
    <w:p>
      <w:pPr>
        <w:pStyle w:val="Corpsdetexte"/>
        <w:numPr>
          <w:ilvl w:val="0"/>
          <w:numId w:val="13"/>
        </w:numPr>
        <w:tabs>
          <w:tab w:val="clear" w:pos="709"/>
          <w:tab w:val="left" w:pos="709" w:leader="none"/>
        </w:tabs>
        <w:bidi w:val="0"/>
        <w:spacing w:before="0" w:after="0"/>
        <w:ind w:left="709" w:hanging="283"/>
        <w:jc w:val="left"/>
        <w:rPr/>
      </w:pPr>
      <w:r>
        <w:rPr/>
        <w:t>Planification et initiation des projets</w:t>
      </w:r>
    </w:p>
    <w:p>
      <w:pPr>
        <w:pStyle w:val="Corpsdetexte"/>
        <w:numPr>
          <w:ilvl w:val="0"/>
          <w:numId w:val="13"/>
        </w:numPr>
        <w:tabs>
          <w:tab w:val="clear" w:pos="709"/>
          <w:tab w:val="left" w:pos="709" w:leader="none"/>
        </w:tabs>
        <w:bidi w:val="0"/>
        <w:spacing w:before="0" w:after="0"/>
        <w:ind w:left="709" w:hanging="283"/>
        <w:jc w:val="left"/>
        <w:rPr/>
      </w:pPr>
      <w:r>
        <w:rPr/>
        <w:t>Gestion des ressources et des budgets</w:t>
      </w:r>
    </w:p>
    <w:p>
      <w:pPr>
        <w:pStyle w:val="Corpsdetexte"/>
        <w:numPr>
          <w:ilvl w:val="0"/>
          <w:numId w:val="13"/>
        </w:numPr>
        <w:tabs>
          <w:tab w:val="clear" w:pos="709"/>
          <w:tab w:val="left" w:pos="709" w:leader="none"/>
        </w:tabs>
        <w:bidi w:val="0"/>
        <w:spacing w:before="0" w:after="0"/>
        <w:ind w:left="709" w:hanging="283"/>
        <w:jc w:val="left"/>
        <w:rPr/>
      </w:pPr>
      <w:r>
        <w:rPr/>
        <w:t>Suivi et évaluation des performances</w:t>
      </w:r>
    </w:p>
    <w:p>
      <w:pPr>
        <w:pStyle w:val="Corpsdetexte"/>
        <w:numPr>
          <w:ilvl w:val="0"/>
          <w:numId w:val="13"/>
        </w:numPr>
        <w:tabs>
          <w:tab w:val="clear" w:pos="709"/>
          <w:tab w:val="left" w:pos="709" w:leader="none"/>
        </w:tabs>
        <w:bidi w:val="0"/>
        <w:ind w:left="709" w:hanging="283"/>
        <w:jc w:val="left"/>
        <w:rPr/>
      </w:pPr>
      <w:r>
        <w:rPr/>
        <w:t>Clôture et évaluation des projets</w:t>
      </w:r>
    </w:p>
    <w:p>
      <w:pPr>
        <w:pStyle w:val="Lignehorizontale"/>
        <w:bidi w:val="0"/>
        <w:jc w:val="left"/>
        <w:rPr/>
      </w:pPr>
      <w:r>
        <w:rPr/>
      </w:r>
    </w:p>
    <w:p>
      <w:pPr>
        <w:pStyle w:val="Titre2"/>
        <w:bidi w:val="0"/>
        <w:jc w:val="left"/>
        <w:rPr/>
      </w:pPr>
      <w:r>
        <w:rPr/>
        <w:t>14. Politique de Conformité et d'Audit</w:t>
      </w:r>
    </w:p>
    <w:p>
      <w:pPr>
        <w:pStyle w:val="Titre3"/>
        <w:bidi w:val="0"/>
        <w:jc w:val="left"/>
        <w:rPr/>
      </w:pPr>
      <w:r>
        <w:rPr/>
        <w:t>14.1 Objectif</w:t>
      </w:r>
    </w:p>
    <w:p>
      <w:pPr>
        <w:pStyle w:val="Corpsdetexte"/>
        <w:bidi w:val="0"/>
        <w:spacing w:lineRule="auto" w:line="276" w:before="0" w:after="140"/>
        <w:jc w:val="left"/>
        <w:rPr/>
      </w:pPr>
      <w:r>
        <w:rPr/>
        <w:t>Garantir la conformité avec les lois, réglementations et normes internes et externes.</w:t>
      </w:r>
    </w:p>
    <w:p>
      <w:pPr>
        <w:pStyle w:val="Titre3"/>
        <w:bidi w:val="0"/>
        <w:jc w:val="left"/>
        <w:rPr/>
      </w:pPr>
      <w:r>
        <w:rPr/>
        <w:t>14.2 Contenu</w:t>
      </w:r>
    </w:p>
    <w:p>
      <w:pPr>
        <w:pStyle w:val="Corpsdetexte"/>
        <w:numPr>
          <w:ilvl w:val="0"/>
          <w:numId w:val="14"/>
        </w:numPr>
        <w:tabs>
          <w:tab w:val="clear" w:pos="709"/>
          <w:tab w:val="left" w:pos="709" w:leader="none"/>
        </w:tabs>
        <w:bidi w:val="0"/>
        <w:spacing w:before="0" w:after="0"/>
        <w:ind w:left="709" w:hanging="283"/>
        <w:jc w:val="left"/>
        <w:rPr/>
      </w:pPr>
      <w:r>
        <w:rPr/>
        <w:t>Surveillance et audit interne</w:t>
      </w:r>
    </w:p>
    <w:p>
      <w:pPr>
        <w:pStyle w:val="Corpsdetexte"/>
        <w:numPr>
          <w:ilvl w:val="0"/>
          <w:numId w:val="14"/>
        </w:numPr>
        <w:tabs>
          <w:tab w:val="clear" w:pos="709"/>
          <w:tab w:val="left" w:pos="709" w:leader="none"/>
        </w:tabs>
        <w:bidi w:val="0"/>
        <w:spacing w:before="0" w:after="0"/>
        <w:ind w:left="709" w:hanging="283"/>
        <w:jc w:val="left"/>
        <w:rPr/>
      </w:pPr>
      <w:r>
        <w:rPr/>
        <w:t>Gestion des non-conformités</w:t>
      </w:r>
    </w:p>
    <w:p>
      <w:pPr>
        <w:pStyle w:val="Corpsdetexte"/>
        <w:numPr>
          <w:ilvl w:val="0"/>
          <w:numId w:val="14"/>
        </w:numPr>
        <w:tabs>
          <w:tab w:val="clear" w:pos="709"/>
          <w:tab w:val="left" w:pos="709" w:leader="none"/>
        </w:tabs>
        <w:bidi w:val="0"/>
        <w:spacing w:before="0" w:after="0"/>
        <w:ind w:left="709" w:hanging="283"/>
        <w:jc w:val="left"/>
        <w:rPr/>
      </w:pPr>
      <w:r>
        <w:rPr/>
        <w:t>Mise en œuvre des recommandations d'audit</w:t>
      </w:r>
    </w:p>
    <w:p>
      <w:pPr>
        <w:pStyle w:val="Corpsdetexte"/>
        <w:numPr>
          <w:ilvl w:val="0"/>
          <w:numId w:val="14"/>
        </w:numPr>
        <w:tabs>
          <w:tab w:val="clear" w:pos="709"/>
          <w:tab w:val="left" w:pos="709" w:leader="none"/>
        </w:tabs>
        <w:bidi w:val="0"/>
        <w:ind w:left="709" w:hanging="283"/>
        <w:jc w:val="left"/>
        <w:rPr/>
      </w:pPr>
      <w:r>
        <w:rPr/>
        <w:t>Rapport de conformité</w:t>
      </w:r>
    </w:p>
    <w:p>
      <w:pPr>
        <w:pStyle w:val="Lignehorizontale"/>
        <w:bidi w:val="0"/>
        <w:jc w:val="left"/>
        <w:rPr/>
      </w:pPr>
      <w:r>
        <w:rPr/>
      </w:r>
    </w:p>
    <w:p>
      <w:pPr>
        <w:pStyle w:val="Titre2"/>
        <w:bidi w:val="0"/>
        <w:jc w:val="left"/>
        <w:rPr/>
      </w:pPr>
      <w:r>
        <w:rPr/>
        <w:t>15. Politique de Communication et de Gestion des Crises</w:t>
      </w:r>
    </w:p>
    <w:p>
      <w:pPr>
        <w:pStyle w:val="Titre3"/>
        <w:bidi w:val="0"/>
        <w:jc w:val="left"/>
        <w:rPr/>
      </w:pPr>
      <w:r>
        <w:rPr/>
        <w:t>15.1 Objectif</w:t>
      </w:r>
    </w:p>
    <w:p>
      <w:pPr>
        <w:pStyle w:val="Corpsdetexte"/>
        <w:bidi w:val="0"/>
        <w:spacing w:lineRule="auto" w:line="276" w:before="0" w:after="140"/>
        <w:jc w:val="left"/>
        <w:rPr/>
      </w:pPr>
      <w:r>
        <w:rPr/>
        <w:t>Assurer une communication efficace et une gestion des crises en cas d'incidents majeurs.</w:t>
      </w:r>
    </w:p>
    <w:p>
      <w:pPr>
        <w:pStyle w:val="Titre3"/>
        <w:bidi w:val="0"/>
        <w:jc w:val="left"/>
        <w:rPr/>
      </w:pPr>
      <w:r>
        <w:rPr/>
        <w:t>15.2 Contenu</w:t>
      </w:r>
    </w:p>
    <w:p>
      <w:pPr>
        <w:pStyle w:val="Corpsdetexte"/>
        <w:numPr>
          <w:ilvl w:val="0"/>
          <w:numId w:val="15"/>
        </w:numPr>
        <w:tabs>
          <w:tab w:val="clear" w:pos="709"/>
          <w:tab w:val="left" w:pos="709" w:leader="none"/>
        </w:tabs>
        <w:bidi w:val="0"/>
        <w:spacing w:before="0" w:after="0"/>
        <w:ind w:left="709" w:hanging="283"/>
        <w:jc w:val="left"/>
        <w:rPr/>
      </w:pPr>
      <w:r>
        <w:rPr/>
        <w:t>Plan de communication en cas de crise</w:t>
      </w:r>
    </w:p>
    <w:p>
      <w:pPr>
        <w:pStyle w:val="Corpsdetexte"/>
        <w:numPr>
          <w:ilvl w:val="0"/>
          <w:numId w:val="15"/>
        </w:numPr>
        <w:tabs>
          <w:tab w:val="clear" w:pos="709"/>
          <w:tab w:val="left" w:pos="709" w:leader="none"/>
        </w:tabs>
        <w:bidi w:val="0"/>
        <w:spacing w:before="0" w:after="0"/>
        <w:ind w:left="709" w:hanging="283"/>
        <w:jc w:val="left"/>
        <w:rPr/>
      </w:pPr>
      <w:r>
        <w:rPr/>
        <w:t>Rôles et responsabilités des parties prenantes</w:t>
      </w:r>
    </w:p>
    <w:p>
      <w:pPr>
        <w:pStyle w:val="Corpsdetexte"/>
        <w:numPr>
          <w:ilvl w:val="0"/>
          <w:numId w:val="15"/>
        </w:numPr>
        <w:tabs>
          <w:tab w:val="clear" w:pos="709"/>
          <w:tab w:val="left" w:pos="709" w:leader="none"/>
        </w:tabs>
        <w:bidi w:val="0"/>
        <w:spacing w:before="0" w:after="0"/>
        <w:ind w:left="709" w:hanging="283"/>
        <w:jc w:val="left"/>
        <w:rPr/>
      </w:pPr>
      <w:r>
        <w:rPr/>
        <w:t>Procédures de communication interne et externe</w:t>
      </w:r>
    </w:p>
    <w:p>
      <w:pPr>
        <w:pStyle w:val="Corpsdetexte"/>
        <w:numPr>
          <w:ilvl w:val="0"/>
          <w:numId w:val="15"/>
        </w:numPr>
        <w:tabs>
          <w:tab w:val="clear" w:pos="709"/>
          <w:tab w:val="left" w:pos="709" w:leader="none"/>
        </w:tabs>
        <w:bidi w:val="0"/>
        <w:ind w:left="709" w:hanging="283"/>
        <w:jc w:val="left"/>
        <w:rPr/>
      </w:pPr>
      <w:r>
        <w:rPr/>
        <w:t>Évaluation et amélioration post-crise</w:t>
      </w:r>
    </w:p>
    <w:p>
      <w:pPr>
        <w:pStyle w:val="Normal"/>
        <w:bidi w:val="0"/>
        <w:jc w:val="lef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lvl w:ilvl="0">
      <w:start w:val="1"/>
      <w:pStyle w:val="Titre1"/>
      <w:numFmt w:val="none"/>
      <w:suff w:val="nothing"/>
      <w:lvlText w:val=""/>
      <w:lvlJc w:val="left"/>
      <w:pPr>
        <w:tabs>
          <w:tab w:val="num" w:pos="0"/>
        </w:tabs>
        <w:ind w:left="0" w:hanging="0"/>
      </w:pPr>
    </w:lvl>
    <w:lvl w:ilvl="1">
      <w:start w:val="1"/>
      <w:pStyle w:val="Titre2"/>
      <w:numFmt w:val="none"/>
      <w:suff w:val="nothing"/>
      <w:lvlText w:val=""/>
      <w:lvlJc w:val="left"/>
      <w:pPr>
        <w:tabs>
          <w:tab w:val="num" w:pos="0"/>
        </w:tabs>
        <w:ind w:left="0" w:hanging="0"/>
      </w:pPr>
    </w:lvl>
    <w:lvl w:ilvl="2">
      <w:start w:val="1"/>
      <w:pStyle w:val="Titre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fr-FR"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fr-FR" w:eastAsia="zh-CN" w:bidi="hi-IN"/>
    </w:rPr>
  </w:style>
  <w:style w:type="paragraph" w:styleId="Titre1">
    <w:name w:val="Heading 1"/>
    <w:basedOn w:val="Titre"/>
    <w:next w:val="Corpsdetexte"/>
    <w:qFormat/>
    <w:pPr>
      <w:spacing w:before="240" w:after="120"/>
      <w:outlineLvl w:val="0"/>
    </w:pPr>
    <w:rPr>
      <w:rFonts w:ascii="Liberation Serif" w:hAnsi="Liberation Serif" w:eastAsia="Noto Serif CJK SC" w:cs="Lohit Devanagari"/>
      <w:b/>
      <w:bCs/>
      <w:sz w:val="48"/>
      <w:szCs w:val="48"/>
    </w:rPr>
  </w:style>
  <w:style w:type="paragraph" w:styleId="Titre2">
    <w:name w:val="Heading 2"/>
    <w:basedOn w:val="Titre"/>
    <w:next w:val="Corpsdetexte"/>
    <w:qFormat/>
    <w:pPr>
      <w:spacing w:before="200" w:after="120"/>
      <w:outlineLvl w:val="1"/>
    </w:pPr>
    <w:rPr>
      <w:rFonts w:ascii="Liberation Serif" w:hAnsi="Liberation Serif" w:eastAsia="Noto Serif CJK SC" w:cs="Lohit Devanagari"/>
      <w:b/>
      <w:bCs/>
      <w:sz w:val="36"/>
      <w:szCs w:val="36"/>
    </w:rPr>
  </w:style>
  <w:style w:type="paragraph" w:styleId="Titre3">
    <w:name w:val="Heading 3"/>
    <w:basedOn w:val="Titre"/>
    <w:next w:val="Corpsdetexte"/>
    <w:qFormat/>
    <w:pPr>
      <w:spacing w:before="140" w:after="120"/>
      <w:outlineLvl w:val="2"/>
    </w:pPr>
    <w:rPr>
      <w:rFonts w:ascii="Liberation Serif" w:hAnsi="Liberation Serif" w:eastAsia="Noto Serif CJK SC" w:cs="Lohit Devanagari"/>
      <w:b/>
      <w:bCs/>
      <w:sz w:val="28"/>
      <w:szCs w:val="28"/>
    </w:rPr>
  </w:style>
  <w:style w:type="character" w:styleId="Puces">
    <w:name w:val="Puces"/>
    <w:qFormat/>
    <w:rPr>
      <w:rFonts w:ascii="OpenSymbol" w:hAnsi="OpenSymbol" w:eastAsia="OpenSymbol" w:cs="OpenSymbol"/>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gnehorizontale">
    <w:name w:val="Ligne horizontale"/>
    <w:basedOn w:val="Normal"/>
    <w:next w:val="Corpsdetexte"/>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LibreOffice/7.3.7.2$Linux_X86_64 LibreOffice_project/30$Build-2</Application>
  <AppVersion>15.0000</AppVersion>
  <Pages>6</Pages>
  <Words>844</Words>
  <Characters>4905</Characters>
  <CharactersWithSpaces>5560</CharactersWithSpaces>
  <Paragraphs>126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2024-07-16T12:27:49Z</dcterms:created>
  <dc:creator/>
  <dc:description/>
  <dc:language>fr-FR</dc:language>
  <cp:lastModifiedBy/>
  <dcterms:modified xsi:type="dcterms:W3CDTF">2024-07-16T12:29:04Z</dcterms:modified>
  <cp:revision>1</cp:revision>
  <dc:subject/>
  <dc:title/>
</cp:coreProperties>
</file>