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tl w:val="0"/>
        </w:rPr>
      </w:r>
    </w:p>
    <w:p w:rsidR="00000000" w:rsidDel="00000000" w:rsidP="00000000" w:rsidRDefault="00000000" w:rsidRPr="00000000" w14:paraId="00000002">
      <w:pPr>
        <w:spacing w:after="60" w:lineRule="auto"/>
        <w:rPr/>
      </w:pPr>
      <w:r w:rsidDel="00000000" w:rsidR="00000000" w:rsidRPr="00000000">
        <w:rPr>
          <w:rFonts w:ascii="Cambria" w:cs="Cambria" w:eastAsia="Cambria" w:hAnsi="Cambria"/>
          <w:b w:val="1"/>
          <w:bCs w:val="1"/>
          <w:sz w:val="56"/>
          <w:szCs w:val="56"/>
          <w:rtl w:val="0"/>
        </w:rPr>
        <w:t xml:space="preserve">SDP GROUPE</w:t>
      </w:r>
      <w:r w:rsidDel="00000000" w:rsidR="00000000" w:rsidRPr="00000000">
        <w:rPr>
          <w:rtl w:val="0"/>
        </w:rPr>
      </w:r>
    </w:p>
    <w:p w:rsidR="00000000" w:rsidDel="00000000" w:rsidP="00000000" w:rsidRDefault="00000000" w:rsidRPr="00000000" w14:paraId="00000003">
      <w:pPr>
        <w:spacing w:after="320" w:lineRule="auto"/>
        <w:rPr/>
      </w:pPr>
      <w:r w:rsidDel="00000000" w:rsidR="00000000" w:rsidRPr="00000000">
        <w:rPr>
          <w:rFonts w:ascii="Calibri" w:cs="Calibri" w:eastAsia="Calibri" w:hAnsi="Calibri"/>
          <w:i w:val="1"/>
          <w:iCs w:val="1"/>
          <w:color w:val="5b6675"/>
          <w:sz w:val="22"/>
          <w:szCs w:val="22"/>
          <w:rtl w:val="0"/>
        </w:rPr>
        <w:t xml:space="preserve">Groupe qui met son expertise au services des maîtres d’ouvrages ….</w:t>
      </w:r>
      <w:r w:rsidDel="00000000" w:rsidR="00000000" w:rsidRPr="00000000">
        <w:rPr>
          <w:rtl w:val="0"/>
        </w:rPr>
      </w:r>
    </w:p>
    <w:p w:rsidR="00000000" w:rsidDel="00000000" w:rsidP="00000000" w:rsidRDefault="00000000" w:rsidRPr="00000000" w14:paraId="00000004">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Contexte</w:t>
      </w:r>
      <w:r w:rsidDel="00000000" w:rsidR="00000000" w:rsidRPr="00000000">
        <w:rPr>
          <w:rtl w:val="0"/>
        </w:rPr>
      </w:r>
    </w:p>
    <w:p w:rsidR="00000000" w:rsidDel="00000000" w:rsidP="00000000" w:rsidRDefault="00000000" w:rsidRPr="00000000" w14:paraId="00000005">
      <w:pPr>
        <w:spacing w:after="240" w:before="240" w:line="300" w:lineRule="auto"/>
        <w:rPr>
          <w:rFonts w:ascii="Calibri" w:cs="Calibri" w:eastAsia="Calibri" w:hAnsi="Calibri"/>
          <w:color w:val="2a2e33"/>
          <w:sz w:val="22"/>
          <w:szCs w:val="22"/>
        </w:rPr>
      </w:pPr>
      <w:r w:rsidDel="00000000" w:rsidR="00000000" w:rsidRPr="00000000">
        <w:rPr>
          <w:rFonts w:ascii="Calibri" w:cs="Calibri" w:eastAsia="Calibri" w:hAnsi="Calibri"/>
          <w:color w:val="2a2e33"/>
          <w:sz w:val="22"/>
          <w:szCs w:val="22"/>
          <w:rtl w:val="0"/>
        </w:rPr>
        <w:t xml:space="preserve">Titulaire d’une triple  certification ISO 9001 , 14001 et 45001, SDP Groupe avait besoin d’un outil permettant de centraliser et structurer l’ensemble des informations liées à ses projets et à ses ressources.</w:t>
      </w:r>
    </w:p>
    <w:p w:rsidR="00000000" w:rsidDel="00000000" w:rsidP="00000000" w:rsidRDefault="00000000" w:rsidRPr="00000000" w14:paraId="00000006">
      <w:pPr>
        <w:spacing w:after="240" w:before="240" w:line="300" w:lineRule="auto"/>
        <w:rPr>
          <w:rFonts w:ascii="Calibri" w:cs="Calibri" w:eastAsia="Calibri" w:hAnsi="Calibri"/>
          <w:color w:val="2a2e33"/>
          <w:sz w:val="22"/>
          <w:szCs w:val="22"/>
        </w:rPr>
      </w:pPr>
      <w:r w:rsidDel="00000000" w:rsidR="00000000" w:rsidRPr="00000000">
        <w:rPr>
          <w:rFonts w:ascii="Calibri" w:cs="Calibri" w:eastAsia="Calibri" w:hAnsi="Calibri"/>
          <w:color w:val="2a2e33"/>
          <w:sz w:val="22"/>
          <w:szCs w:val="22"/>
          <w:rtl w:val="0"/>
        </w:rPr>
        <w:t xml:space="preserve">Les données et processus étant répartis entre différents supports, le pilotage global des projets, le suivi des ressources et la consolidation des indicateurs nécessitaient une solution permettant de disposer d’une vision unifiée et d’un meilleur suivi de l’activité.</w:t>
      </w:r>
    </w:p>
    <w:p w:rsidR="00000000" w:rsidDel="00000000" w:rsidP="00000000" w:rsidRDefault="00000000" w:rsidRPr="00000000" w14:paraId="00000007">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Mission</w:t>
      </w:r>
      <w:r w:rsidDel="00000000" w:rsidR="00000000" w:rsidRPr="00000000">
        <w:rPr>
          <w:rtl w:val="0"/>
        </w:rPr>
      </w:r>
    </w:p>
    <w:p w:rsidR="00000000" w:rsidDel="00000000" w:rsidP="00000000" w:rsidRDefault="00000000" w:rsidRPr="00000000" w14:paraId="00000008">
      <w:pPr>
        <w:spacing w:after="200" w:line="300" w:lineRule="auto"/>
        <w:rPr/>
      </w:pPr>
      <w:r w:rsidDel="00000000" w:rsidR="00000000" w:rsidRPr="00000000">
        <w:rPr>
          <w:rFonts w:ascii="Calibri" w:cs="Calibri" w:eastAsia="Calibri" w:hAnsi="Calibri"/>
          <w:i w:val="0"/>
          <w:iCs w:val="0"/>
          <w:color w:val="2a2e33"/>
          <w:sz w:val="22"/>
          <w:szCs w:val="22"/>
          <w:rtl w:val="0"/>
        </w:rPr>
        <w:t xml:space="preserve">C'est dans cette optique que NetByUs a accompagné SDP Groupe dans la conception et le développement de SDP Connect : une plateforme intégrée de pilotage opérationnel, pensée pour transformer la gestion des projets d'infrastructures, du développement commercial jusqu'à la livraison opérationnelle.</w:t>
      </w:r>
      <w:r w:rsidDel="00000000" w:rsidR="00000000" w:rsidRPr="00000000">
        <w:rPr>
          <w:rtl w:val="0"/>
        </w:rPr>
      </w:r>
    </w:p>
    <w:p w:rsidR="00000000" w:rsidDel="00000000" w:rsidP="00000000" w:rsidRDefault="00000000" w:rsidRPr="00000000" w14:paraId="00000009">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Réalisation — 4 modules stratégiques</w:t>
      </w:r>
      <w:r w:rsidDel="00000000" w:rsidR="00000000" w:rsidRPr="00000000">
        <w:rPr>
          <w:rtl w:val="0"/>
        </w:rPr>
      </w:r>
    </w:p>
    <w:p w:rsidR="00000000" w:rsidDel="00000000" w:rsidP="00000000" w:rsidRDefault="00000000" w:rsidRPr="00000000" w14:paraId="0000000A">
      <w:pPr>
        <w:spacing w:after="200" w:line="300" w:lineRule="auto"/>
        <w:rPr/>
      </w:pPr>
      <w:r w:rsidDel="00000000" w:rsidR="00000000" w:rsidRPr="00000000">
        <w:rPr>
          <w:rFonts w:ascii="Calibri" w:cs="Calibri" w:eastAsia="Calibri" w:hAnsi="Calibri"/>
          <w:i w:val="0"/>
          <w:iCs w:val="0"/>
          <w:color w:val="2a2e33"/>
          <w:sz w:val="22"/>
          <w:szCs w:val="22"/>
          <w:rtl w:val="0"/>
        </w:rPr>
        <w:t xml:space="preserve">Un environnement unique, du développement business jusqu'aux ressources humaines.</w:t>
      </w: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4675"/>
        <w:tblGridChange w:id="0">
          <w:tblGrid>
            <w:gridCol w:w="4675"/>
            <w:gridCol w:w="4675"/>
          </w:tblGrid>
        </w:tblGridChange>
      </w:tblGrid>
      <w:tr>
        <w:trPr>
          <w:cantSplit w:val="0"/>
          <w:tblHeader w:val="0"/>
        </w:trPr>
        <w:tc>
          <w:tcPr>
            <w:shd w:fill="f4f6fa" w:val="clear"/>
            <w:tcMar>
              <w:top w:w="220.0" w:type="dxa"/>
              <w:left w:w="220.0" w:type="dxa"/>
              <w:bottom w:w="220.0" w:type="dxa"/>
              <w:right w:w="220.0" w:type="dxa"/>
            </w:tcMar>
          </w:tcPr>
          <w:p w:rsidR="00000000" w:rsidDel="00000000" w:rsidP="00000000" w:rsidRDefault="00000000" w:rsidRPr="00000000" w14:paraId="0000000B">
            <w:pPr>
              <w:spacing w:after="40" w:lineRule="auto"/>
              <w:rPr/>
            </w:pPr>
            <w:r w:rsidDel="00000000" w:rsidR="00000000" w:rsidRPr="00000000">
              <w:rPr>
                <w:rFonts w:ascii="Cambria" w:cs="Cambria" w:eastAsia="Cambria" w:hAnsi="Cambria"/>
                <w:b w:val="1"/>
                <w:bCs w:val="1"/>
                <w:color w:val="7a1128"/>
                <w:sz w:val="24"/>
                <w:szCs w:val="24"/>
                <w:rtl w:val="0"/>
              </w:rPr>
              <w:t xml:space="preserve">DBU  </w:t>
            </w:r>
            <w:r w:rsidDel="00000000" w:rsidR="00000000" w:rsidRPr="00000000">
              <w:rPr>
                <w:rFonts w:ascii="Cambria" w:cs="Cambria" w:eastAsia="Cambria" w:hAnsi="Cambria"/>
                <w:b w:val="1"/>
                <w:bCs w:val="1"/>
                <w:color w:val="1b3b6f"/>
                <w:sz w:val="24"/>
                <w:szCs w:val="24"/>
                <w:rtl w:val="0"/>
              </w:rPr>
              <w:t xml:space="preserve">Développement Business</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Calibri" w:cs="Calibri" w:eastAsia="Calibri" w:hAnsi="Calibri"/>
                <w:i w:val="1"/>
                <w:iCs w:val="1"/>
                <w:color w:val="5b6675"/>
                <w:sz w:val="19"/>
                <w:szCs w:val="19"/>
                <w:rtl w:val="0"/>
              </w:rPr>
              <w:t xml:space="preserve">Transformer les opportunités en projets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Création et gestion des appels d'offres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Workflow de validation multi-niveaux</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Constitution des dossiers de réponse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Suivi des soumissions &amp; historique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Transfert automatique vers GOP</w:t>
            </w:r>
            <w:r w:rsidDel="00000000" w:rsidR="00000000" w:rsidRPr="00000000">
              <w:rPr>
                <w:rtl w:val="0"/>
              </w:rPr>
            </w:r>
          </w:p>
        </w:tc>
        <w:tc>
          <w:tcPr>
            <w:shd w:fill="f4f6fa" w:val="clear"/>
            <w:tcMar>
              <w:top w:w="220.0" w:type="dxa"/>
              <w:left w:w="220.0" w:type="dxa"/>
              <w:bottom w:w="220.0" w:type="dxa"/>
              <w:right w:w="220.0" w:type="dxa"/>
            </w:tcMar>
          </w:tcPr>
          <w:p w:rsidR="00000000" w:rsidDel="00000000" w:rsidP="00000000" w:rsidRDefault="00000000" w:rsidRPr="00000000" w14:paraId="00000012">
            <w:pPr>
              <w:spacing w:after="40" w:lineRule="auto"/>
              <w:rPr/>
            </w:pPr>
            <w:r w:rsidDel="00000000" w:rsidR="00000000" w:rsidRPr="00000000">
              <w:rPr>
                <w:rFonts w:ascii="Cambria" w:cs="Cambria" w:eastAsia="Cambria" w:hAnsi="Cambria"/>
                <w:b w:val="1"/>
                <w:bCs w:val="1"/>
                <w:color w:val="7a1128"/>
                <w:sz w:val="24"/>
                <w:szCs w:val="24"/>
                <w:rtl w:val="0"/>
              </w:rPr>
              <w:t xml:space="preserve">GOP  </w:t>
            </w:r>
            <w:r w:rsidDel="00000000" w:rsidR="00000000" w:rsidRPr="00000000">
              <w:rPr>
                <w:rFonts w:ascii="Cambria" w:cs="Cambria" w:eastAsia="Cambria" w:hAnsi="Cambria"/>
                <w:b w:val="1"/>
                <w:bCs w:val="1"/>
                <w:color w:val="1b3b6f"/>
                <w:sz w:val="24"/>
                <w:szCs w:val="24"/>
                <w:rtl w:val="0"/>
              </w:rPr>
              <w:t xml:space="preserve">Gestion Opérationnelle</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Calibri" w:cs="Calibri" w:eastAsia="Calibri" w:hAnsi="Calibri"/>
                <w:i w:val="1"/>
                <w:iCs w:val="1"/>
                <w:color w:val="5b6675"/>
                <w:sz w:val="19"/>
                <w:szCs w:val="19"/>
                <w:rtl w:val="0"/>
              </w:rPr>
              <w:t xml:space="preserve">Piloter l'exécution des projets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Documents projet &amp; livrables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Gestion des prestataires &amp; experts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Suivi terrain : tâches &amp; incidents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Remontée d'incidents (photo, vidéo, GPS)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Communication instantanée</w:t>
            </w:r>
            <w:r w:rsidDel="00000000" w:rsidR="00000000" w:rsidRPr="00000000">
              <w:rPr>
                <w:rtl w:val="0"/>
              </w:rPr>
            </w:r>
          </w:p>
        </w:tc>
      </w:tr>
      <w:tr>
        <w:trPr>
          <w:cantSplit w:val="0"/>
          <w:tblHeader w:val="0"/>
        </w:trPr>
        <w:tc>
          <w:tcPr>
            <w:shd w:fill="f4f6fa" w:val="clear"/>
            <w:tcMar>
              <w:top w:w="220.0" w:type="dxa"/>
              <w:left w:w="220.0" w:type="dxa"/>
              <w:bottom w:w="220.0" w:type="dxa"/>
              <w:right w:w="220.0" w:type="dxa"/>
            </w:tcMar>
          </w:tcPr>
          <w:p w:rsidR="00000000" w:rsidDel="00000000" w:rsidP="00000000" w:rsidRDefault="00000000" w:rsidRPr="00000000" w14:paraId="00000019">
            <w:pPr>
              <w:spacing w:after="40" w:lineRule="auto"/>
              <w:rPr/>
            </w:pPr>
            <w:r w:rsidDel="00000000" w:rsidR="00000000" w:rsidRPr="00000000">
              <w:rPr>
                <w:rFonts w:ascii="Cambria" w:cs="Cambria" w:eastAsia="Cambria" w:hAnsi="Cambria"/>
                <w:b w:val="1"/>
                <w:bCs w:val="1"/>
                <w:color w:val="7a1128"/>
                <w:sz w:val="24"/>
                <w:szCs w:val="24"/>
                <w:rtl w:val="0"/>
              </w:rPr>
              <w:t xml:space="preserve">CCG  </w:t>
            </w:r>
            <w:r w:rsidDel="00000000" w:rsidR="00000000" w:rsidRPr="00000000">
              <w:rPr>
                <w:rFonts w:ascii="Cambria" w:cs="Cambria" w:eastAsia="Cambria" w:hAnsi="Cambria"/>
                <w:b w:val="1"/>
                <w:bCs w:val="1"/>
                <w:color w:val="1b3b6f"/>
                <w:sz w:val="24"/>
                <w:szCs w:val="24"/>
                <w:rtl w:val="0"/>
              </w:rPr>
              <w:t xml:space="preserve">Comptabilité &amp; Contrôle</w:t>
            </w:r>
            <w:r w:rsidDel="00000000" w:rsidR="00000000" w:rsidRPr="00000000">
              <w:rPr>
                <w:rtl w:val="0"/>
              </w:rPr>
            </w:r>
          </w:p>
          <w:p w:rsidR="00000000" w:rsidDel="00000000" w:rsidP="00000000" w:rsidRDefault="00000000" w:rsidRPr="00000000" w14:paraId="0000001A">
            <w:pPr>
              <w:spacing w:after="120" w:lineRule="auto"/>
              <w:rPr/>
            </w:pPr>
            <w:r w:rsidDel="00000000" w:rsidR="00000000" w:rsidRPr="00000000">
              <w:rPr>
                <w:rFonts w:ascii="Calibri" w:cs="Calibri" w:eastAsia="Calibri" w:hAnsi="Calibri"/>
                <w:i w:val="1"/>
                <w:iCs w:val="1"/>
                <w:color w:val="5b6675"/>
                <w:sz w:val="19"/>
                <w:szCs w:val="19"/>
                <w:rtl w:val="0"/>
              </w:rPr>
              <w:t xml:space="preserve">Maîtriser les finances et la performance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Facturation clients et fournisseurs</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Notes de frais, avances &amp; bons de commande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Tableaux de bord financiers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Suivi budgétaire siège et projets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Suivi global des affaires</w:t>
            </w:r>
            <w:r w:rsidDel="00000000" w:rsidR="00000000" w:rsidRPr="00000000">
              <w:rPr>
                <w:rtl w:val="0"/>
              </w:rPr>
            </w:r>
          </w:p>
        </w:tc>
        <w:tc>
          <w:tcPr>
            <w:shd w:fill="f4f6fa" w:val="clear"/>
            <w:tcMar>
              <w:top w:w="220.0" w:type="dxa"/>
              <w:left w:w="220.0" w:type="dxa"/>
              <w:bottom w:w="220.0" w:type="dxa"/>
              <w:right w:w="220.0" w:type="dxa"/>
            </w:tcMar>
          </w:tcPr>
          <w:p w:rsidR="00000000" w:rsidDel="00000000" w:rsidP="00000000" w:rsidRDefault="00000000" w:rsidRPr="00000000" w14:paraId="00000020">
            <w:pPr>
              <w:spacing w:after="40" w:lineRule="auto"/>
              <w:rPr/>
            </w:pPr>
            <w:r w:rsidDel="00000000" w:rsidR="00000000" w:rsidRPr="00000000">
              <w:rPr>
                <w:rFonts w:ascii="Cambria" w:cs="Cambria" w:eastAsia="Cambria" w:hAnsi="Cambria"/>
                <w:b w:val="1"/>
                <w:bCs w:val="1"/>
                <w:color w:val="7a1128"/>
                <w:sz w:val="24"/>
                <w:szCs w:val="24"/>
                <w:rtl w:val="0"/>
              </w:rPr>
              <w:t xml:space="preserve">RHJ  </w:t>
            </w:r>
            <w:r w:rsidDel="00000000" w:rsidR="00000000" w:rsidRPr="00000000">
              <w:rPr>
                <w:rFonts w:ascii="Cambria" w:cs="Cambria" w:eastAsia="Cambria" w:hAnsi="Cambria"/>
                <w:b w:val="1"/>
                <w:bCs w:val="1"/>
                <w:color w:val="1b3b6f"/>
                <w:sz w:val="24"/>
                <w:szCs w:val="24"/>
                <w:rtl w:val="0"/>
              </w:rPr>
              <w:t xml:space="preserve">RH &amp; Juridique</w:t>
            </w:r>
            <w:r w:rsidDel="00000000" w:rsidR="00000000" w:rsidRPr="00000000">
              <w:rPr>
                <w:rtl w:val="0"/>
              </w:rPr>
            </w:r>
          </w:p>
          <w:p w:rsidR="00000000" w:rsidDel="00000000" w:rsidP="00000000" w:rsidRDefault="00000000" w:rsidRPr="00000000" w14:paraId="00000021">
            <w:pPr>
              <w:spacing w:after="120" w:lineRule="auto"/>
              <w:rPr/>
            </w:pPr>
            <w:r w:rsidDel="00000000" w:rsidR="00000000" w:rsidRPr="00000000">
              <w:rPr>
                <w:rFonts w:ascii="Calibri" w:cs="Calibri" w:eastAsia="Calibri" w:hAnsi="Calibri"/>
                <w:i w:val="1"/>
                <w:iCs w:val="1"/>
                <w:color w:val="5b6675"/>
                <w:sz w:val="19"/>
                <w:szCs w:val="19"/>
                <w:rtl w:val="0"/>
              </w:rPr>
              <w:t xml:space="preserve">Structurer le capital humain</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Paie et suivi administratif</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Congés, absences &amp; recrutement</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Base CV &amp; notes de service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Tableau de suivi RH global</w:t>
            </w:r>
            <w:r w:rsidDel="00000000" w:rsidR="00000000" w:rsidRPr="00000000">
              <w:rPr>
                <w:rtl w:val="0"/>
              </w:rPr>
            </w:r>
          </w:p>
        </w:tc>
      </w:tr>
    </w:tbl>
    <w:p w:rsidR="00000000" w:rsidDel="00000000" w:rsidP="00000000" w:rsidRDefault="00000000" w:rsidRPr="00000000" w14:paraId="00000026">
      <w:pPr>
        <w:spacing w:after="60" w:before="0" w:lineRule="auto"/>
        <w:rPr/>
      </w:pPr>
      <w:r w:rsidDel="00000000" w:rsidR="00000000" w:rsidRPr="00000000">
        <w:rPr>
          <w:rFonts w:ascii="Calibri" w:cs="Calibri" w:eastAsia="Calibri" w:hAnsi="Calibri"/>
          <w:b w:val="1"/>
          <w:bCs w:val="1"/>
          <w:color w:val="7a1128"/>
          <w:sz w:val="18"/>
          <w:szCs w:val="18"/>
          <w:rtl w:val="0"/>
        </w:rPr>
        <w:t xml:space="preserve">CE QUE ÇA CHANGE</w:t>
      </w:r>
      <w:r w:rsidDel="00000000" w:rsidR="00000000" w:rsidRPr="00000000">
        <w:rPr>
          <w:rtl w:val="0"/>
        </w:rPr>
      </w:r>
    </w:p>
    <w:p w:rsidR="00000000" w:rsidDel="00000000" w:rsidP="00000000" w:rsidRDefault="00000000" w:rsidRPr="00000000" w14:paraId="00000027">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Résultat</w:t>
      </w:r>
      <w:r w:rsidDel="00000000" w:rsidR="00000000" w:rsidRPr="00000000">
        <w:rPr>
          <w:rtl w:val="0"/>
        </w:rPr>
      </w:r>
    </w:p>
    <w:p w:rsidR="00000000" w:rsidDel="00000000" w:rsidP="00000000" w:rsidRDefault="00000000" w:rsidRPr="00000000" w14:paraId="00000028">
      <w:pPr>
        <w:spacing w:after="200" w:line="300" w:lineRule="auto"/>
        <w:rPr/>
      </w:pPr>
      <w:r w:rsidDel="00000000" w:rsidR="00000000" w:rsidRPr="00000000">
        <w:rPr>
          <w:rFonts w:ascii="Calibri" w:cs="Calibri" w:eastAsia="Calibri" w:hAnsi="Calibri"/>
          <w:i w:val="0"/>
          <w:iCs w:val="0"/>
          <w:color w:val="2a2e33"/>
          <w:sz w:val="22"/>
          <w:szCs w:val="22"/>
          <w:rtl w:val="0"/>
        </w:rPr>
        <w:t xml:space="preserve">Une transformation mesurable de la performance opérationnelle.</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5"/>
        <w:gridCol w:w="4675"/>
        <w:tblGridChange w:id="0">
          <w:tblGrid>
            <w:gridCol w:w="4675"/>
            <w:gridCol w:w="4675"/>
          </w:tblGrid>
        </w:tblGridChange>
      </w:tblGrid>
      <w:tr>
        <w:trPr>
          <w:cantSplit w:val="0"/>
          <w:tblHeader w:val="0"/>
        </w:trPr>
        <w:tc>
          <w:tcPr>
            <w:tcBorders>
              <w:top w:color="e4e9f0" w:space="0" w:sz="4" w:val="single"/>
              <w:left w:color="e4e9f0" w:space="0" w:sz="4" w:val="single"/>
              <w:bottom w:color="e4e9f0" w:space="0" w:sz="4" w:val="single"/>
              <w:right w:color="e4e9f0" w:space="0" w:sz="4" w:val="single"/>
            </w:tcBorders>
            <w:shd w:fill="ffffff" w:val="clear"/>
            <w:tcMar>
              <w:top w:w="220.0" w:type="dxa"/>
              <w:left w:w="220.0" w:type="dxa"/>
              <w:bottom w:w="220.0" w:type="dxa"/>
              <w:right w:w="220.0" w:type="dxa"/>
            </w:tcMar>
          </w:tcPr>
          <w:p w:rsidR="00000000" w:rsidDel="00000000" w:rsidP="00000000" w:rsidRDefault="00000000" w:rsidRPr="00000000" w14:paraId="00000029">
            <w:pPr>
              <w:spacing w:after="140" w:lineRule="auto"/>
              <w:rPr/>
            </w:pPr>
            <w:r w:rsidDel="00000000" w:rsidR="00000000" w:rsidRPr="00000000">
              <w:rPr>
                <w:rFonts w:ascii="Calibri" w:cs="Calibri" w:eastAsia="Calibri" w:hAnsi="Calibri"/>
                <w:b w:val="1"/>
                <w:bCs w:val="1"/>
                <w:color w:val="7a1128"/>
                <w:sz w:val="20"/>
                <w:szCs w:val="20"/>
                <w:rtl w:val="0"/>
              </w:rPr>
              <w:t xml:space="preserve">VALEUR AJOUTÉE</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Réduction des délais de traitement</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Amélioration de la traçabilité des actions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Centralisation des informations projet</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Suppression des traitements papier</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Amélioration de la collaboration inter-équipes</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Pilotage en temps réel des activités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19"/>
                <w:szCs w:val="19"/>
                <w:u w:val="none"/>
                <w:shd w:fill="auto" w:val="clear"/>
                <w:vertAlign w:val="baseline"/>
                <w:rtl w:val="0"/>
              </w:rPr>
              <w:t xml:space="preserve">Renforcement de la gouvernance projet : visibilité totale et standardisation des processus</w:t>
            </w:r>
            <w:r w:rsidDel="00000000" w:rsidR="00000000" w:rsidRPr="00000000">
              <w:rPr>
                <w:rtl w:val="0"/>
              </w:rPr>
            </w:r>
          </w:p>
        </w:tc>
        <w:tc>
          <w:tcPr>
            <w:shd w:fill="1b3b6f" w:val="clear"/>
            <w:tcMar>
              <w:top w:w="220.0" w:type="dxa"/>
              <w:left w:w="220.0" w:type="dxa"/>
              <w:bottom w:w="220.0" w:type="dxa"/>
              <w:right w:w="220.0" w:type="dxa"/>
            </w:tcMar>
          </w:tcPr>
          <w:p w:rsidR="00000000" w:rsidDel="00000000" w:rsidP="00000000" w:rsidRDefault="00000000" w:rsidRPr="00000000" w14:paraId="00000031">
            <w:pPr>
              <w:spacing w:after="20" w:lineRule="auto"/>
              <w:rPr/>
            </w:pPr>
            <w:r w:rsidDel="00000000" w:rsidR="00000000" w:rsidRPr="00000000">
              <w:rPr>
                <w:rFonts w:ascii="Calibri" w:cs="Calibri" w:eastAsia="Calibri" w:hAnsi="Calibri"/>
                <w:b w:val="1"/>
                <w:bCs w:val="1"/>
                <w:color w:val="e8b9c4"/>
                <w:sz w:val="20"/>
                <w:szCs w:val="20"/>
                <w:rtl w:val="0"/>
              </w:rPr>
              <w:t xml:space="preserve">BÉNÉFICES GARANTIS</w:t>
            </w:r>
            <w:r w:rsidDel="00000000" w:rsidR="00000000" w:rsidRPr="00000000">
              <w:rPr>
                <w:rtl w:val="0"/>
              </w:rPr>
            </w:r>
          </w:p>
          <w:p w:rsidR="00000000" w:rsidDel="00000000" w:rsidP="00000000" w:rsidRDefault="00000000" w:rsidRPr="00000000" w14:paraId="00000032">
            <w:pPr>
              <w:spacing w:after="140" w:lineRule="auto"/>
              <w:rPr/>
            </w:pPr>
            <w:r w:rsidDel="00000000" w:rsidR="00000000" w:rsidRPr="00000000">
              <w:rPr>
                <w:rFonts w:ascii="Calibri" w:cs="Calibri" w:eastAsia="Calibri" w:hAnsi="Calibri"/>
                <w:i w:val="1"/>
                <w:iCs w:val="1"/>
                <w:color w:val="c9d2e0"/>
                <w:sz w:val="18"/>
                <w:szCs w:val="18"/>
                <w:rtl w:val="0"/>
              </w:rPr>
              <w:t xml:space="preserve">Pour les clients SDP</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ffffff"/>
                <w:sz w:val="19"/>
                <w:szCs w:val="19"/>
                <w:u w:val="none"/>
                <w:shd w:fill="auto" w:val="clear"/>
                <w:vertAlign w:val="baseline"/>
                <w:rtl w:val="0"/>
              </w:rPr>
              <w:t xml:space="preserve">Meilleure visibilité sur l'avancement des projets en temps réel</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ffffff"/>
                <w:sz w:val="19"/>
                <w:szCs w:val="19"/>
                <w:u w:val="none"/>
                <w:shd w:fill="auto" w:val="clear"/>
                <w:vertAlign w:val="baseline"/>
                <w:rtl w:val="0"/>
              </w:rPr>
              <w:t xml:space="preserve">Suivi structuré et standardisé à chaque étape du projet</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ffffff"/>
                <w:sz w:val="19"/>
                <w:szCs w:val="19"/>
                <w:u w:val="none"/>
                <w:shd w:fill="auto" w:val="clear"/>
                <w:vertAlign w:val="baseline"/>
                <w:rtl w:val="0"/>
              </w:rPr>
              <w:t xml:space="preserve">Communication fluide entre tous les acteurs du projet</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ffffff"/>
                <w:sz w:val="19"/>
                <w:szCs w:val="19"/>
                <w:u w:val="none"/>
                <w:shd w:fill="auto" w:val="clear"/>
                <w:vertAlign w:val="baseline"/>
                <w:rtl w:val="0"/>
              </w:rPr>
              <w:t xml:space="preserve">Réduction significative des risques opérationnels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ffffff"/>
                <w:sz w:val="19"/>
                <w:szCs w:val="19"/>
                <w:u w:val="none"/>
                <w:shd w:fill="auto" w:val="clear"/>
                <w:vertAlign w:val="baseline"/>
                <w:rtl w:val="0"/>
              </w:rPr>
              <w:t xml:space="preserve">Meilleure performance globale — livraison dans les délais et les budgets</w:t>
            </w:r>
            <w:r w:rsidDel="00000000" w:rsidR="00000000" w:rsidRPr="00000000">
              <w:rPr>
                <w:rtl w:val="0"/>
              </w:rPr>
            </w:r>
          </w:p>
        </w:tc>
      </w:tr>
    </w:tbl>
    <w:p w:rsidR="00000000" w:rsidDel="00000000" w:rsidP="00000000" w:rsidRDefault="00000000" w:rsidRPr="00000000" w14:paraId="00000038">
      <w:pPr>
        <w:spacing w:after="60" w:before="0" w:lineRule="auto"/>
        <w:rPr/>
      </w:pPr>
      <w:r w:rsidDel="00000000" w:rsidR="00000000" w:rsidRPr="00000000">
        <w:rPr>
          <w:rFonts w:ascii="Calibri" w:cs="Calibri" w:eastAsia="Calibri" w:hAnsi="Calibri"/>
          <w:b w:val="1"/>
          <w:bCs w:val="1"/>
          <w:color w:val="7a1128"/>
          <w:sz w:val="18"/>
          <w:szCs w:val="18"/>
          <w:rtl w:val="0"/>
        </w:rPr>
        <w:t xml:space="preserve">MÉTHODOLOGIE PROJET</w:t>
      </w:r>
      <w:r w:rsidDel="00000000" w:rsidR="00000000" w:rsidRPr="00000000">
        <w:rPr>
          <w:rtl w:val="0"/>
        </w:rPr>
      </w:r>
    </w:p>
    <w:p w:rsidR="00000000" w:rsidDel="00000000" w:rsidP="00000000" w:rsidRDefault="00000000" w:rsidRPr="00000000" w14:paraId="00000039">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Notre démarche</w:t>
      </w:r>
      <w:r w:rsidDel="00000000" w:rsidR="00000000" w:rsidRPr="00000000">
        <w:rPr>
          <w:rtl w:val="0"/>
        </w:rPr>
      </w:r>
    </w:p>
    <w:p w:rsidR="00000000" w:rsidDel="00000000" w:rsidP="00000000" w:rsidRDefault="00000000" w:rsidRPr="00000000" w14:paraId="0000003A">
      <w:pPr>
        <w:spacing w:after="200" w:line="300" w:lineRule="auto"/>
        <w:rPr/>
      </w:pPr>
      <w:r w:rsidDel="00000000" w:rsidR="00000000" w:rsidRPr="00000000">
        <w:rPr>
          <w:rFonts w:ascii="Calibri" w:cs="Calibri" w:eastAsia="Calibri" w:hAnsi="Calibri"/>
          <w:i w:val="0"/>
          <w:iCs w:val="0"/>
          <w:color w:val="2a2e33"/>
          <w:sz w:val="22"/>
          <w:szCs w:val="22"/>
          <w:rtl w:val="0"/>
        </w:rPr>
        <w:t xml:space="preserve">Une démarche structurée, processus par processus, du diagnostic terrain jusqu'au support continu.</w:t>
      </w:r>
      <w:r w:rsidDel="00000000" w:rsidR="00000000" w:rsidRPr="00000000">
        <w:rPr>
          <w:rtl w:val="0"/>
        </w:rPr>
      </w:r>
    </w:p>
    <w:p w:rsidR="00000000" w:rsidDel="00000000" w:rsidP="00000000" w:rsidRDefault="00000000" w:rsidRPr="00000000" w14:paraId="0000003B">
      <w:pPr>
        <w:spacing w:after="20" w:before="200" w:lineRule="auto"/>
        <w:rPr/>
      </w:pPr>
      <w:r w:rsidDel="00000000" w:rsidR="00000000" w:rsidRPr="00000000">
        <w:rPr>
          <w:rFonts w:ascii="Cambria" w:cs="Cambria" w:eastAsia="Cambria" w:hAnsi="Cambria"/>
          <w:b w:val="1"/>
          <w:bCs w:val="1"/>
          <w:color w:val="7a1128"/>
          <w:sz w:val="26"/>
          <w:szCs w:val="26"/>
          <w:rtl w:val="0"/>
        </w:rPr>
        <w:t xml:space="preserve">01  </w:t>
      </w:r>
      <w:r w:rsidDel="00000000" w:rsidR="00000000" w:rsidRPr="00000000">
        <w:rPr>
          <w:rFonts w:ascii="Cambria" w:cs="Cambria" w:eastAsia="Cambria" w:hAnsi="Cambria"/>
          <w:b w:val="1"/>
          <w:bCs w:val="1"/>
          <w:color w:val="1b3b6f"/>
          <w:sz w:val="24"/>
          <w:szCs w:val="24"/>
          <w:rtl w:val="0"/>
        </w:rPr>
        <w:t xml:space="preserve">Comprendre</w:t>
      </w:r>
      <w:r w:rsidDel="00000000" w:rsidR="00000000" w:rsidRPr="00000000">
        <w:rPr>
          <w:rtl w:val="0"/>
        </w:rPr>
      </w:r>
    </w:p>
    <w:p w:rsidR="00000000" w:rsidDel="00000000" w:rsidP="00000000" w:rsidRDefault="00000000" w:rsidRPr="00000000" w14:paraId="0000003C">
      <w:pPr>
        <w:spacing w:after="100" w:lineRule="auto"/>
        <w:rPr/>
      </w:pPr>
      <w:r w:rsidDel="00000000" w:rsidR="00000000" w:rsidRPr="00000000">
        <w:rPr>
          <w:rFonts w:ascii="Calibri" w:cs="Calibri" w:eastAsia="Calibri" w:hAnsi="Calibri"/>
          <w:i w:val="1"/>
          <w:iCs w:val="1"/>
          <w:color w:val="5b6675"/>
          <w:sz w:val="19"/>
          <w:szCs w:val="19"/>
          <w:rtl w:val="0"/>
        </w:rPr>
        <w:t xml:space="preserve">Cadrer avant de construire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Discussion avec chaque responsable de processus pour comprendre ses besoins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Conseil sur la digitalisation des activités de chaque processus</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Rédaction des cahiers des charges, processus par processus</w:t>
      </w:r>
      <w:r w:rsidDel="00000000" w:rsidR="00000000" w:rsidRPr="00000000">
        <w:rPr>
          <w:rtl w:val="0"/>
        </w:rPr>
      </w:r>
    </w:p>
    <w:p w:rsidR="00000000" w:rsidDel="00000000" w:rsidP="00000000" w:rsidRDefault="00000000" w:rsidRPr="00000000" w14:paraId="00000040">
      <w:pPr>
        <w:spacing w:after="20" w:before="200" w:lineRule="auto"/>
        <w:rPr/>
      </w:pPr>
      <w:r w:rsidDel="00000000" w:rsidR="00000000" w:rsidRPr="00000000">
        <w:rPr>
          <w:rFonts w:ascii="Cambria" w:cs="Cambria" w:eastAsia="Cambria" w:hAnsi="Cambria"/>
          <w:b w:val="1"/>
          <w:bCs w:val="1"/>
          <w:color w:val="7a1128"/>
          <w:sz w:val="26"/>
          <w:szCs w:val="26"/>
          <w:rtl w:val="0"/>
        </w:rPr>
        <w:t xml:space="preserve">02  </w:t>
      </w:r>
      <w:r w:rsidDel="00000000" w:rsidR="00000000" w:rsidRPr="00000000">
        <w:rPr>
          <w:rFonts w:ascii="Cambria" w:cs="Cambria" w:eastAsia="Cambria" w:hAnsi="Cambria"/>
          <w:b w:val="1"/>
          <w:bCs w:val="1"/>
          <w:color w:val="1b3b6f"/>
          <w:sz w:val="24"/>
          <w:szCs w:val="24"/>
          <w:rtl w:val="0"/>
        </w:rPr>
        <w:t xml:space="preserve">Construire</w:t>
      </w:r>
      <w:r w:rsidDel="00000000" w:rsidR="00000000" w:rsidRPr="00000000">
        <w:rPr>
          <w:rtl w:val="0"/>
        </w:rPr>
      </w:r>
    </w:p>
    <w:p w:rsidR="00000000" w:rsidDel="00000000" w:rsidP="00000000" w:rsidRDefault="00000000" w:rsidRPr="00000000" w14:paraId="00000041">
      <w:pPr>
        <w:spacing w:after="100" w:lineRule="auto"/>
        <w:rPr/>
      </w:pPr>
      <w:r w:rsidDel="00000000" w:rsidR="00000000" w:rsidRPr="00000000">
        <w:rPr>
          <w:rFonts w:ascii="Calibri" w:cs="Calibri" w:eastAsia="Calibri" w:hAnsi="Calibri"/>
          <w:i w:val="1"/>
          <w:iCs w:val="1"/>
          <w:color w:val="5b6675"/>
          <w:sz w:val="19"/>
          <w:szCs w:val="19"/>
          <w:rtl w:val="0"/>
        </w:rPr>
        <w:t xml:space="preserve">Développer, valider, éprouver</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Implémentation de la solution</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Validation par les responsables de processus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Mise en test</w:t>
      </w:r>
      <w:r w:rsidDel="00000000" w:rsidR="00000000" w:rsidRPr="00000000">
        <w:rPr>
          <w:rtl w:val="0"/>
        </w:rPr>
      </w:r>
    </w:p>
    <w:p w:rsidR="00000000" w:rsidDel="00000000" w:rsidP="00000000" w:rsidRDefault="00000000" w:rsidRPr="00000000" w14:paraId="00000045">
      <w:pPr>
        <w:spacing w:after="20" w:before="200" w:lineRule="auto"/>
        <w:rPr/>
      </w:pPr>
      <w:r w:rsidDel="00000000" w:rsidR="00000000" w:rsidRPr="00000000">
        <w:rPr>
          <w:rFonts w:ascii="Cambria" w:cs="Cambria" w:eastAsia="Cambria" w:hAnsi="Cambria"/>
          <w:b w:val="1"/>
          <w:bCs w:val="1"/>
          <w:color w:val="7a1128"/>
          <w:sz w:val="26"/>
          <w:szCs w:val="26"/>
          <w:rtl w:val="0"/>
        </w:rPr>
        <w:t xml:space="preserve">03  </w:t>
      </w:r>
      <w:r w:rsidDel="00000000" w:rsidR="00000000" w:rsidRPr="00000000">
        <w:rPr>
          <w:rFonts w:ascii="Cambria" w:cs="Cambria" w:eastAsia="Cambria" w:hAnsi="Cambria"/>
          <w:b w:val="1"/>
          <w:bCs w:val="1"/>
          <w:color w:val="1b3b6f"/>
          <w:sz w:val="24"/>
          <w:szCs w:val="24"/>
          <w:rtl w:val="0"/>
        </w:rPr>
        <w:t xml:space="preserve">Déployer</w:t>
      </w:r>
      <w:r w:rsidDel="00000000" w:rsidR="00000000" w:rsidRPr="00000000">
        <w:rPr>
          <w:rtl w:val="0"/>
        </w:rPr>
      </w:r>
    </w:p>
    <w:p w:rsidR="00000000" w:rsidDel="00000000" w:rsidP="00000000" w:rsidRDefault="00000000" w:rsidRPr="00000000" w14:paraId="00000046">
      <w:pPr>
        <w:spacing w:after="100" w:lineRule="auto"/>
        <w:rPr/>
      </w:pPr>
      <w:r w:rsidDel="00000000" w:rsidR="00000000" w:rsidRPr="00000000">
        <w:rPr>
          <w:rFonts w:ascii="Calibri" w:cs="Calibri" w:eastAsia="Calibri" w:hAnsi="Calibri"/>
          <w:i w:val="1"/>
          <w:iCs w:val="1"/>
          <w:color w:val="5b6675"/>
          <w:sz w:val="19"/>
          <w:szCs w:val="19"/>
          <w:rtl w:val="0"/>
        </w:rPr>
        <w:t xml:space="preserve">Former, migrer, mettre en service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Formation des utilisateurs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Migration des données existantes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Mise en service et déploiement de la solution</w:t>
      </w:r>
      <w:r w:rsidDel="00000000" w:rsidR="00000000" w:rsidRPr="00000000">
        <w:rPr>
          <w:rtl w:val="0"/>
        </w:rPr>
      </w:r>
    </w:p>
    <w:p w:rsidR="00000000" w:rsidDel="00000000" w:rsidP="00000000" w:rsidRDefault="00000000" w:rsidRPr="00000000" w14:paraId="0000004A">
      <w:pPr>
        <w:spacing w:after="20" w:before="200" w:lineRule="auto"/>
        <w:rPr/>
      </w:pPr>
      <w:r w:rsidDel="00000000" w:rsidR="00000000" w:rsidRPr="00000000">
        <w:rPr>
          <w:rFonts w:ascii="Cambria" w:cs="Cambria" w:eastAsia="Cambria" w:hAnsi="Cambria"/>
          <w:b w:val="1"/>
          <w:bCs w:val="1"/>
          <w:color w:val="7a1128"/>
          <w:sz w:val="26"/>
          <w:szCs w:val="26"/>
          <w:rtl w:val="0"/>
        </w:rPr>
        <w:t xml:space="preserve">04  </w:t>
      </w:r>
      <w:r w:rsidDel="00000000" w:rsidR="00000000" w:rsidRPr="00000000">
        <w:rPr>
          <w:rFonts w:ascii="Cambria" w:cs="Cambria" w:eastAsia="Cambria" w:hAnsi="Cambria"/>
          <w:b w:val="1"/>
          <w:bCs w:val="1"/>
          <w:color w:val="1b3b6f"/>
          <w:sz w:val="24"/>
          <w:szCs w:val="24"/>
          <w:rtl w:val="0"/>
        </w:rPr>
        <w:t xml:space="preserve">En continu</w:t>
      </w:r>
      <w:r w:rsidDel="00000000" w:rsidR="00000000" w:rsidRPr="00000000">
        <w:rPr>
          <w:rtl w:val="0"/>
        </w:rPr>
      </w:r>
    </w:p>
    <w:p w:rsidR="00000000" w:rsidDel="00000000" w:rsidP="00000000" w:rsidRDefault="00000000" w:rsidRPr="00000000" w14:paraId="0000004B">
      <w:pPr>
        <w:spacing w:after="100" w:lineRule="auto"/>
        <w:rPr/>
      </w:pPr>
      <w:r w:rsidDel="00000000" w:rsidR="00000000" w:rsidRPr="00000000">
        <w:rPr>
          <w:rFonts w:ascii="Calibri" w:cs="Calibri" w:eastAsia="Calibri" w:hAnsi="Calibri"/>
          <w:i w:val="1"/>
          <w:iCs w:val="1"/>
          <w:color w:val="5b6675"/>
          <w:sz w:val="19"/>
          <w:szCs w:val="19"/>
          <w:rtl w:val="0"/>
        </w:rPr>
        <w:t xml:space="preserve">Superviser et améliorer</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Supervision des infrastructures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Monitoring de la plateforme</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00" w:right="0" w:hanging="220"/>
        <w:jc w:val="left"/>
        <w:rPr/>
      </w:pPr>
      <w:r w:rsidDel="00000000" w:rsidR="00000000" w:rsidRPr="00000000">
        <w:rPr>
          <w:rFonts w:ascii="Calibri" w:cs="Calibri" w:eastAsia="Calibri" w:hAnsi="Calibri"/>
          <w:b w:val="0"/>
          <w:bCs w:val="0"/>
          <w:i w:val="0"/>
          <w:iCs w:val="0"/>
          <w:smallCaps w:val="0"/>
          <w:strike w:val="0"/>
          <w:color w:val="2a2e33"/>
          <w:sz w:val="20"/>
          <w:szCs w:val="20"/>
          <w:u w:val="none"/>
          <w:shd w:fill="auto" w:val="clear"/>
          <w:vertAlign w:val="baseline"/>
          <w:rtl w:val="0"/>
        </w:rPr>
        <w:t xml:space="preserve">Évaluation continue des performances</w:t>
      </w:r>
      <w:r w:rsidDel="00000000" w:rsidR="00000000" w:rsidRPr="00000000">
        <w:rPr>
          <w:rtl w:val="0"/>
        </w:rPr>
      </w:r>
    </w:p>
    <w:p w:rsidR="00000000" w:rsidDel="00000000" w:rsidP="00000000" w:rsidRDefault="00000000" w:rsidRPr="00000000" w14:paraId="0000004F">
      <w:pPr>
        <w:spacing w:after="60" w:before="0" w:lineRule="auto"/>
        <w:rPr/>
      </w:pPr>
      <w:r w:rsidDel="00000000" w:rsidR="00000000" w:rsidRPr="00000000">
        <w:rPr>
          <w:rFonts w:ascii="Calibri" w:cs="Calibri" w:eastAsia="Calibri" w:hAnsi="Calibri"/>
          <w:b w:val="1"/>
          <w:bCs w:val="1"/>
          <w:color w:val="7a1128"/>
          <w:sz w:val="18"/>
          <w:szCs w:val="18"/>
          <w:rtl w:val="0"/>
        </w:rPr>
        <w:t xml:space="preserve">TECHNOLOGIE &amp; POSITIONNEMENT</w:t>
      </w:r>
      <w:r w:rsidDel="00000000" w:rsidR="00000000" w:rsidRPr="00000000">
        <w:rPr>
          <w:rtl w:val="0"/>
        </w:rPr>
      </w:r>
    </w:p>
    <w:p w:rsidR="00000000" w:rsidDel="00000000" w:rsidP="00000000" w:rsidRDefault="00000000" w:rsidRPr="00000000" w14:paraId="00000050">
      <w:pPr>
        <w:pStyle w:val="Heading1"/>
        <w:pBdr>
          <w:bottom w:color="7a1128" w:space="6" w:sz="6" w:val="single"/>
        </w:pBdr>
        <w:spacing w:after="160" w:before="360" w:lineRule="auto"/>
        <w:rPr/>
      </w:pPr>
      <w:r w:rsidDel="00000000" w:rsidR="00000000" w:rsidRPr="00000000">
        <w:rPr>
          <w:rFonts w:ascii="Cambria" w:cs="Cambria" w:eastAsia="Cambria" w:hAnsi="Cambria"/>
          <w:b w:val="1"/>
          <w:bCs w:val="1"/>
          <w:color w:val="1b3b6f"/>
          <w:sz w:val="34"/>
          <w:szCs w:val="34"/>
          <w:rtl w:val="0"/>
        </w:rPr>
        <w:t xml:space="preserve">Plateforme &amp; différenciation</w:t>
      </w:r>
      <w:r w:rsidDel="00000000" w:rsidR="00000000" w:rsidRPr="00000000">
        <w:rPr>
          <w:rtl w:val="0"/>
        </w:rPr>
      </w:r>
    </w:p>
    <w:p w:rsidR="00000000" w:rsidDel="00000000" w:rsidP="00000000" w:rsidRDefault="00000000" w:rsidRPr="00000000" w14:paraId="00000051">
      <w:pPr>
        <w:spacing w:after="200" w:line="300" w:lineRule="auto"/>
        <w:rPr/>
      </w:pPr>
      <w:r w:rsidDel="00000000" w:rsidR="00000000" w:rsidRPr="00000000">
        <w:rPr>
          <w:rFonts w:ascii="Calibri" w:cs="Calibri" w:eastAsia="Calibri" w:hAnsi="Calibri"/>
          <w:i w:val="0"/>
          <w:iCs w:val="0"/>
          <w:color w:val="2a2e33"/>
          <w:sz w:val="22"/>
          <w:szCs w:val="22"/>
          <w:rtl w:val="0"/>
        </w:rPr>
        <w:t xml:space="preserve">Une plateforme robuste, différenciante, et un partenaire technologique dans la durée.</w:t>
      </w:r>
      <w:r w:rsidDel="00000000" w:rsidR="00000000" w:rsidRPr="00000000">
        <w:rPr>
          <w:rtl w:val="0"/>
        </w:rPr>
      </w:r>
    </w:p>
    <w:p w:rsidR="00000000" w:rsidDel="00000000" w:rsidP="00000000" w:rsidRDefault="00000000" w:rsidRPr="00000000" w14:paraId="00000052">
      <w:pPr>
        <w:spacing w:after="100" w:before="240" w:lineRule="auto"/>
        <w:rPr/>
      </w:pPr>
      <w:r w:rsidDel="00000000" w:rsidR="00000000" w:rsidRPr="00000000">
        <w:rPr>
          <w:rFonts w:ascii="Calibri" w:cs="Calibri" w:eastAsia="Calibri" w:hAnsi="Calibri"/>
          <w:b w:val="1"/>
          <w:bCs w:val="1"/>
          <w:color w:val="7a1128"/>
          <w:sz w:val="19"/>
          <w:szCs w:val="19"/>
          <w:rtl w:val="0"/>
        </w:rPr>
        <w:t xml:space="preserve">INFRASTRUCTURE TECHNOLOGIQUE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Plateforme web &amp; mobile</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Hébergement cloud sécurisé</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Accès multi-sites &amp; projets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Gestion avancée des rôles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Accès distant sécurisé</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Architecture scalable</w:t>
      </w:r>
      <w:r w:rsidDel="00000000" w:rsidR="00000000" w:rsidRPr="00000000">
        <w:rPr>
          <w:rtl w:val="0"/>
        </w:rPr>
      </w:r>
    </w:p>
    <w:p w:rsidR="00000000" w:rsidDel="00000000" w:rsidP="00000000" w:rsidRDefault="00000000" w:rsidRPr="00000000" w14:paraId="00000059">
      <w:pPr>
        <w:spacing w:after="100" w:before="240" w:lineRule="auto"/>
        <w:rPr/>
      </w:pPr>
      <w:r w:rsidDel="00000000" w:rsidR="00000000" w:rsidRPr="00000000">
        <w:rPr>
          <w:rFonts w:ascii="Calibri" w:cs="Calibri" w:eastAsia="Calibri" w:hAnsi="Calibri"/>
          <w:b w:val="1"/>
          <w:bCs w:val="1"/>
          <w:color w:val="7a1128"/>
          <w:sz w:val="19"/>
          <w:szCs w:val="19"/>
          <w:rtl w:val="0"/>
        </w:rPr>
        <w:t xml:space="preserve">AVANTAGES COMPÉTITIFS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Approche 100 % intégrée projet — un seul environnement pour toutes les équipes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Vision cycle de vie complet — DBU → GOP → CCG → RHJ, sans rupture de flux</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Logique terrain + management + finance — convergence de toutes les dimensions du projet</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Centralisation unique des données — décisions basées sur des données fiables en temps réel</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40" w:lineRule="auto"/>
        <w:ind w:left="360" w:right="0" w:hanging="260"/>
        <w:jc w:val="left"/>
        <w:rPr/>
      </w:pPr>
      <w:r w:rsidDel="00000000" w:rsidR="00000000" w:rsidRPr="00000000">
        <w:rPr>
          <w:rFonts w:ascii="Calibri" w:cs="Calibri" w:eastAsia="Calibri" w:hAnsi="Calibri"/>
          <w:b w:val="0"/>
          <w:bCs w:val="0"/>
          <w:i w:val="0"/>
          <w:iCs w:val="0"/>
          <w:smallCaps w:val="0"/>
          <w:strike w:val="0"/>
          <w:color w:val="2a2e33"/>
          <w:sz w:val="21"/>
          <w:szCs w:val="21"/>
          <w:u w:val="none"/>
          <w:shd w:fill="auto" w:val="clear"/>
          <w:vertAlign w:val="baseline"/>
          <w:rtl w:val="0"/>
        </w:rPr>
        <w:t xml:space="preserve">Adapté aux projets d'infrastructures en Afrique — conçu pour les réalités terrain locales et internationales</w:t>
      </w:r>
      <w:r w:rsidDel="00000000" w:rsidR="00000000" w:rsidRPr="00000000">
        <w:rPr>
          <w:rtl w:val="0"/>
        </w:rPr>
      </w:r>
    </w:p>
    <w:p w:rsidR="00000000" w:rsidDel="00000000" w:rsidP="00000000" w:rsidRDefault="00000000" w:rsidRPr="00000000" w14:paraId="0000005F">
      <w:pPr>
        <w:spacing w:after="160" w:lineRule="auto"/>
        <w:rPr/>
      </w:pPr>
      <w:r w:rsidDel="00000000" w:rsidR="00000000" w:rsidRPr="00000000">
        <w:rPr>
          <w:rtl w:val="0"/>
        </w:rPr>
      </w:r>
    </w:p>
    <w:tbl>
      <w:tblPr>
        <w:tblStyle w:val="Table3"/>
        <w:tblW w:w="96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45"/>
        <w:tblGridChange w:id="0">
          <w:tblGrid>
            <w:gridCol w:w="9645"/>
          </w:tblGrid>
        </w:tblGridChange>
      </w:tblGrid>
      <w:tr>
        <w:trPr>
          <w:cantSplit w:val="0"/>
          <w:tblHeader w:val="0"/>
        </w:trPr>
        <w:tc>
          <w:tcPr>
            <w:shd w:fill="1b3b6f" w:val="clear"/>
            <w:tcMar>
              <w:top w:w="200.0" w:type="dxa"/>
              <w:left w:w="260.0" w:type="dxa"/>
              <w:bottom w:w="200.0" w:type="dxa"/>
              <w:right w:w="260.0" w:type="dxa"/>
            </w:tcMar>
          </w:tcPr>
          <w:p w:rsidR="00000000" w:rsidDel="00000000" w:rsidP="00000000" w:rsidRDefault="00000000" w:rsidRPr="00000000" w14:paraId="00000060">
            <w:pPr>
              <w:rPr/>
            </w:pPr>
            <w:r w:rsidDel="00000000" w:rsidR="00000000" w:rsidRPr="00000000">
              <w:rPr>
                <w:rFonts w:ascii="Cambria" w:cs="Cambria" w:eastAsia="Cambria" w:hAnsi="Cambria"/>
                <w:b w:val="1"/>
                <w:bCs w:val="1"/>
                <w:color w:val="ffffff"/>
                <w:sz w:val="26"/>
                <w:szCs w:val="26"/>
                <w:rtl w:val="0"/>
              </w:rPr>
              <w:t xml:space="preserve">Partenariat technologique : NetByUs accompagne SDP Groupe dans la conception, le développement et l'évolution continue de la plateforme SDP Connect, en tant que partenaire technologique stratégique.</w:t>
            </w:r>
            <w:r w:rsidDel="00000000" w:rsidR="00000000" w:rsidRPr="00000000">
              <w:rPr>
                <w:rtl w:val="0"/>
              </w:rPr>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6838" w:w="11906" w:orient="portrait"/>
      <w:pgMar w:bottom="1100" w:top="11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00" w:hanging="2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00" w:hanging="2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