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both"/>
      </w:pPr>
    </w:p>
    <w:p>
      <w:pPr>
        <w:pStyle w:val="Titre"/>
        <w:jc w:val="center"/>
      </w:pPr>
      <w:r>
        <w:t>DOCUMENT D’ARCHITECTURE INFRASTRUCTURE</w:t>
      </w:r>
    </w:p>
    <w:p>
      <w:pPr>
        <w:jc w:val="both"/>
      </w:pPr>
    </w:p>
    <w:p>
      <w:pPr/>
      <w:r>
        <w:rPr>
          <w:i/>
          <w:iCs/>
        </w:rPr>
        <w:t>Application POS Multi-Tenant — Plateforme BY+</w:t>
      </w:r>
    </w:p>
    <w:p>
      <w:pPr/>
      <w:r>
        <w:t>Versions V0 / V1 / V2 — Architecture 3 serveurs évolutive</w:t>
      </w:r>
    </w:p>
    <w:p>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tr>
        <w:tc>
          <w:tcPr>
            <w:tcW w:w="3200" w:type="dxa"/>
          </w:tcPr>
          <w:p>
            <w:pPr>
              <w:jc w:val="both"/>
            </w:pPr>
            <w:r>
              <w:rPr>
                <w:b/>
                <w:bCs/>
              </w:rPr>
              <w:t>Référence</w:t>
            </w:r>
          </w:p>
        </w:tc>
        <w:tc>
          <w:tcPr>
            <w:tcW w:w="6438" w:type="dxa"/>
          </w:tcPr>
          <w:p>
            <w:pPr>
              <w:jc w:val="both"/>
            </w:pPr>
            <w:r>
              <w:t>DAI-POS-2025-001</w:t>
            </w:r>
          </w:p>
        </w:tc>
      </w:tr>
      <w:tr>
        <w:tc>
          <w:tcPr>
            <w:tcW w:w="3200" w:type="dxa"/>
          </w:tcPr>
          <w:p>
            <w:pPr>
              <w:jc w:val="both"/>
            </w:pPr>
            <w:r>
              <w:rPr>
                <w:b/>
                <w:bCs/>
              </w:rPr>
              <w:t>Version</w:t>
            </w:r>
          </w:p>
        </w:tc>
        <w:tc>
          <w:tcPr>
            <w:tcW w:w="6438" w:type="dxa"/>
          </w:tcPr>
          <w:p>
            <w:pPr>
              <w:jc w:val="both"/>
            </w:pPr>
            <w:r>
              <w:t>1.0</w:t>
            </w:r>
          </w:p>
        </w:tc>
      </w:tr>
      <w:tr>
        <w:tc>
          <w:tcPr>
            <w:tcW w:w="3200" w:type="dxa"/>
          </w:tcPr>
          <w:p>
            <w:pPr>
              <w:jc w:val="both"/>
            </w:pPr>
            <w:r>
              <w:rPr>
                <w:b/>
                <w:bCs/>
              </w:rPr>
              <w:t xml:space="preserve">Date d’émission</w:t>
            </w:r>
          </w:p>
        </w:tc>
        <w:tc>
          <w:tcPr>
            <w:tcW w:w="6438" w:type="dxa"/>
          </w:tcPr>
          <w:p>
            <w:pPr>
              <w:jc w:val="both"/>
            </w:pPr>
            <w:r>
              <w:t xml:space="preserve">Avril 2025</w:t>
            </w:r>
          </w:p>
        </w:tc>
      </w:tr>
      <w:tr>
        <w:tc>
          <w:tcPr>
            <w:tcW w:w="3200" w:type="dxa"/>
          </w:tcPr>
          <w:p>
            <w:pPr>
              <w:jc w:val="both"/>
            </w:pPr>
            <w:r>
              <w:rPr>
                <w:b/>
                <w:bCs/>
              </w:rPr>
              <w:t>Statut</w:t>
            </w:r>
          </w:p>
        </w:tc>
        <w:tc>
          <w:tcPr>
            <w:tcW w:w="6438" w:type="dxa"/>
          </w:tcPr>
          <w:p>
            <w:pPr>
              <w:jc w:val="both"/>
            </w:pPr>
            <w:r>
              <w:t xml:space="preserve">DOCUMENT DE TRAVAIL</w:t>
            </w:r>
          </w:p>
        </w:tc>
      </w:tr>
      <w:tr>
        <w:tc>
          <w:tcPr>
            <w:tcW w:w="3200" w:type="dxa"/>
          </w:tcPr>
          <w:p>
            <w:pPr>
              <w:jc w:val="both"/>
            </w:pPr>
            <w:r>
              <w:rPr>
                <w:b/>
                <w:bCs/>
              </w:rPr>
              <w:t>Rédacteur</w:t>
            </w:r>
          </w:p>
        </w:tc>
        <w:tc>
          <w:tcPr>
            <w:tcW w:w="6438" w:type="dxa"/>
          </w:tcPr>
          <w:p>
            <w:pPr>
              <w:jc w:val="both"/>
            </w:pPr>
            <w:r>
              <w:t xml:space="preserve">DSI — NET BY US</w:t>
            </w:r>
          </w:p>
        </w:tc>
      </w:tr>
      <w:tr>
        <w:tc>
          <w:tcPr>
            <w:tcW w:w="3200" w:type="dxa"/>
          </w:tcPr>
          <w:p>
            <w:pPr>
              <w:jc w:val="both"/>
            </w:pPr>
            <w:r>
              <w:rPr>
                <w:b/>
                <w:bCs/>
              </w:rPr>
              <w:t>Destinataires</w:t>
            </w:r>
          </w:p>
        </w:tc>
        <w:tc>
          <w:tcPr>
            <w:tcW w:w="6438" w:type="dxa"/>
          </w:tcPr>
          <w:p>
            <w:pPr>
              <w:jc w:val="both"/>
            </w:pPr>
            <w:r>
              <w:t xml:space="preserve">Direction Générale, Équipe Technique, Partenaires Hébergement</w:t>
            </w:r>
          </w:p>
        </w:tc>
      </w:tr>
      <w:tr>
        <w:tc>
          <w:tcPr>
            <w:tcW w:w="3200" w:type="dxa"/>
          </w:tcPr>
          <w:p>
            <w:pPr>
              <w:jc w:val="both"/>
            </w:pPr>
            <w:r>
              <w:rPr>
                <w:b/>
                <w:bCs/>
              </w:rPr>
              <w:t>Classification</w:t>
            </w:r>
          </w:p>
        </w:tc>
        <w:tc>
          <w:tcPr>
            <w:tcW w:w="6438" w:type="dxa"/>
          </w:tcPr>
          <w:p>
            <w:pPr>
              <w:jc w:val="both"/>
            </w:pPr>
            <w:r>
              <w:t xml:space="preserve">CONFIDENTIEL — Usage interne</w:t>
            </w:r>
          </w:p>
        </w:tc>
      </w:tr>
    </w:tbl>
    <w:p>
      <w:r>
        <w:br w:type="page"/>
      </w:r>
    </w:p>
    <w:p>
      <w:pPr>
        <w:pStyle w:val="Titre1"/>
        <w:jc w:val="both"/>
      </w:pPr>
      <w:r>
        <w:t>CONTEXTE &amp; HYPOTHÈSES DE DIMENSIONNEMENT</w:t>
      </w:r>
    </w:p>
    <w:p>
      <w:pPr>
        <w:jc w:val="both"/>
      </w:pPr>
    </w:p>
    <w:p>
      <w:pPr>
        <w:pStyle w:val="Titre2"/>
        <w:jc w:val="both"/>
      </w:pPr>
      <w:r>
        <w:t>0.1 Description du projet</w:t>
      </w:r>
    </w:p>
    <w:p>
      <w:pPr>
        <w:jc w:val="both"/>
      </w:pPr>
      <w:r>
        <w:t>Le présent Document d’Architecture Infrastructure (DAI) décrit la conception, le dimensionnement et la feuille de route d’évolution de la plateforme d’hébergement de l’application commerciale de gestion de points de vente (POS) développée par NET BY US.</w:t>
      </w:r>
    </w:p>
    <w:p>
      <w:pPr>
        <w:jc w:val="both"/>
      </w:pPr>
      <w:r>
        <w:t>L’application est distribuée en trois versions cumulatives — V0 (offline / boutique unique), V1 (multi-boutiques &amp; synchronisation web) et V2 (stock, entrepôt &amp; caisse avancée) — coexistant sur une infrastructure commune multi-tenant dès le départ.</w:t>
      </w:r>
    </w:p>
    <w:p>
      <w:pPr>
        <w:jc w:val="both"/>
      </w:pPr>
      <w:r>
        <w:t>L’architecture de lancement repose sur 3 serveurs dédiés. Ce choix est le résultat d’une consolidation raisonnée : les composants applicatifs (Nginx, PHP-FPM, Redis, Horizon) sont colocalisés sur un seul nœud (SRV-01) dont le dimensionnement est calibré pour absorber leur charge combinée, tandis que la base de données (SRV-02) conserve des ressources I/O exclusives. Un chemin d’isolation progressif est défini dès la Phase A pour guider la séparation des composants en cas de saturation.</w:t>
      </w:r>
    </w:p>
    <w:p>
      <w:pPr>
        <w:jc w:val="both"/>
      </w:pPr>
    </w:p>
    <w:p>
      <w:pPr>
        <w:pStyle w:val="Titre2"/>
        <w:jc w:val="both"/>
      </w:pPr>
      <w:r>
        <w:t>0.2 Hypothèses de dimensionnement retenues</w:t>
      </w:r>
    </w:p>
    <w:p>
      <w:pPr>
        <w:jc w:val="both"/>
      </w:pPr>
      <w:r>
        <w:t>En l’absence de données historiques, les hypothèses suivantes sont retenues comme base de dimensionnement pour un lancement sur un marché régional Afrique subsaharienne / France :</w:t>
      </w:r>
    </w:p>
    <w:p>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tr>
        <w:trPr>
          <w:tblHeader/>
        </w:trPr>
        <w:tc>
          <w:tcPr>
            <w:tcW w:w="3600" w:type="dxa"/>
          </w:tcPr>
          <w:p>
            <w:pPr>
              <w:jc w:val="both"/>
            </w:pPr>
            <w:r>
              <w:rPr>
                <w:b/>
                <w:bCs/>
              </w:rPr>
              <w:t>Paramètre</w:t>
            </w:r>
          </w:p>
        </w:tc>
        <w:tc>
          <w:tcPr>
            <w:tcW w:w="3019" w:type="dxa"/>
          </w:tcPr>
          <w:p>
            <w:pPr>
              <w:jc w:val="both"/>
            </w:pPr>
            <w:r>
              <w:rPr>
                <w:b/>
                <w:bCs/>
              </w:rPr>
              <w:t xml:space="preserve">Horizon 6 mois</w:t>
            </w:r>
          </w:p>
        </w:tc>
        <w:tc>
          <w:tcPr>
            <w:tcW w:w="3019" w:type="dxa"/>
          </w:tcPr>
          <w:p>
            <w:pPr>
              <w:jc w:val="both"/>
            </w:pPr>
            <w:r>
              <w:rPr>
                <w:b/>
                <w:bCs/>
              </w:rPr>
              <w:t xml:space="preserve">Horizon 12 mois</w:t>
            </w:r>
          </w:p>
        </w:tc>
      </w:tr>
      <w:tr>
        <w:tc>
          <w:tcPr>
            <w:tcW w:w="3600" w:type="dxa"/>
          </w:tcPr>
          <w:p>
            <w:pPr>
              <w:jc w:val="both"/>
            </w:pPr>
            <w:r>
              <w:rPr>
                <w:b/>
                <w:bCs/>
              </w:rPr>
              <w:t xml:space="preserve">Nombre de boutiques actives</w:t>
            </w:r>
          </w:p>
        </w:tc>
        <w:tc>
          <w:tcPr>
            <w:tcW w:w="3019" w:type="dxa"/>
          </w:tcPr>
          <w:p>
            <w:pPr>
              <w:jc w:val="both"/>
            </w:pPr>
            <w:r>
              <w:t xml:space="preserve">50 boutiques</w:t>
            </w:r>
          </w:p>
        </w:tc>
        <w:tc>
          <w:tcPr>
            <w:tcW w:w="3019" w:type="dxa"/>
          </w:tcPr>
          <w:p>
            <w:pPr>
              <w:jc w:val="both"/>
            </w:pPr>
            <w:r>
              <w:t xml:space="preserve">200 boutiques</w:t>
            </w:r>
          </w:p>
        </w:tc>
      </w:tr>
      <w:tr>
        <w:tc>
          <w:tcPr>
            <w:tcW w:w="3600" w:type="dxa"/>
          </w:tcPr>
          <w:p>
            <w:pPr>
              <w:jc w:val="both"/>
            </w:pPr>
            <w:r>
              <w:rPr>
                <w:b/>
                <w:bCs/>
              </w:rPr>
              <w:t xml:space="preserve">Transactions journ. / boutique</w:t>
            </w:r>
          </w:p>
        </w:tc>
        <w:tc>
          <w:tcPr>
            <w:tcW w:w="3019" w:type="dxa"/>
          </w:tcPr>
          <w:p>
            <w:pPr>
              <w:jc w:val="both"/>
            </w:pPr>
            <w:r>
              <w:t xml:space="preserve">150 tx/jour</w:t>
            </w:r>
          </w:p>
        </w:tc>
        <w:tc>
          <w:tcPr>
            <w:tcW w:w="3019" w:type="dxa"/>
          </w:tcPr>
          <w:p>
            <w:pPr>
              <w:jc w:val="both"/>
            </w:pPr>
            <w:r>
              <w:t xml:space="preserve">200 tx/jour</w:t>
            </w:r>
          </w:p>
        </w:tc>
      </w:tr>
      <w:tr>
        <w:tc>
          <w:tcPr>
            <w:tcW w:w="3600" w:type="dxa"/>
          </w:tcPr>
          <w:p>
            <w:pPr>
              <w:jc w:val="both"/>
            </w:pPr>
            <w:r>
              <w:rPr>
                <w:b/>
                <w:bCs/>
              </w:rPr>
              <w:t xml:space="preserve">Volume total transactions / jour</w:t>
            </w:r>
          </w:p>
        </w:tc>
        <w:tc>
          <w:tcPr>
            <w:tcW w:w="3019" w:type="dxa"/>
          </w:tcPr>
          <w:p>
            <w:pPr>
              <w:jc w:val="both"/>
            </w:pPr>
            <w:r>
              <w:t xml:space="preserve">7 500 tx/jour</w:t>
            </w:r>
          </w:p>
        </w:tc>
        <w:tc>
          <w:tcPr>
            <w:tcW w:w="3019" w:type="dxa"/>
          </w:tcPr>
          <w:p>
            <w:pPr>
              <w:jc w:val="both"/>
            </w:pPr>
            <w:r>
              <w:t xml:space="preserve">40 000 tx/jour</w:t>
            </w:r>
          </w:p>
        </w:tc>
      </w:tr>
      <w:tr>
        <w:tc>
          <w:tcPr>
            <w:tcW w:w="3600" w:type="dxa"/>
          </w:tcPr>
          <w:p>
            <w:pPr>
              <w:jc w:val="both"/>
            </w:pPr>
            <w:r>
              <w:rPr>
                <w:b/>
                <w:bCs/>
              </w:rPr>
              <w:t xml:space="preserve">Utilisateurs concurrents (pic, ~10 %)</w:t>
            </w:r>
          </w:p>
        </w:tc>
        <w:tc>
          <w:tcPr>
            <w:tcW w:w="3019" w:type="dxa"/>
          </w:tcPr>
          <w:p>
            <w:pPr>
              <w:jc w:val="both"/>
            </w:pPr>
            <w:r>
              <w:t xml:space="preserve">~75 sessions</w:t>
            </w:r>
          </w:p>
        </w:tc>
        <w:tc>
          <w:tcPr>
            <w:tcW w:w="3019" w:type="dxa"/>
          </w:tcPr>
          <w:p>
            <w:pPr>
              <w:jc w:val="both"/>
            </w:pPr>
            <w:r>
              <w:t xml:space="preserve">~300 sessions</w:t>
            </w:r>
          </w:p>
        </w:tc>
      </w:tr>
      <w:tr>
        <w:tc>
          <w:tcPr>
            <w:tcW w:w="3600" w:type="dxa"/>
          </w:tcPr>
          <w:p>
            <w:pPr>
              <w:jc w:val="both"/>
            </w:pPr>
            <w:r>
              <w:rPr>
                <w:b/>
                <w:bCs/>
              </w:rPr>
              <w:t xml:space="preserve">Taux de croissance mensuel estimé</w:t>
            </w:r>
          </w:p>
        </w:tc>
        <w:tc>
          <w:tcPr>
            <w:tcW w:w="3019" w:type="dxa"/>
          </w:tcPr>
          <w:p>
            <w:pPr>
              <w:jc w:val="both"/>
            </w:pPr>
            <w:r>
              <w:t xml:space="preserve">20 % / mois</w:t>
            </w:r>
          </w:p>
        </w:tc>
        <w:tc>
          <w:tcPr>
            <w:tcW w:w="3019" w:type="dxa"/>
          </w:tcPr>
          <w:p>
            <w:pPr>
              <w:jc w:val="both"/>
            </w:pPr>
            <w:r>
              <w:t xml:space="preserve">15 % / mois</w:t>
            </w:r>
          </w:p>
        </w:tc>
      </w:tr>
    </w:tbl>
    <w:p>
      <w:pPr>
        <w:jc w:val="both"/>
      </w:pPr>
    </w:p>
    <w:p>
      <w:pPr>
        <w:jc w:val="both"/>
      </w:pPr>
      <w:r>
        <w:t>Ces hypothèses conditionnent directement le dimensionnement de SRV-01 et SRV-02. Une révision est recommandée à 3 mois post-lancement sur la base des données réelles de production.</w:t>
      </w:r>
    </w:p>
    <w:p>
      <w:r>
        <w:br w:type="page"/>
      </w:r>
    </w:p>
    <w:p>
      <w:pPr>
        <w:pStyle w:val="Titre1"/>
        <w:jc w:val="both"/>
      </w:pPr>
      <w:r>
        <w:t>1. PHASE LANCEMENT — CONFIGURATION SERVEURS INITIALE</w:t>
      </w:r>
    </w:p>
    <w:p>
      <w:pPr>
        <w:jc w:val="both"/>
      </w:pPr>
    </w:p>
    <w:p>
      <w:pPr>
        <w:pStyle w:val="Titre2"/>
        <w:jc w:val="both"/>
      </w:pPr>
      <w:r>
        <w:t>1.1 Architecture à 3 serveurs dédiés</w:t>
      </w:r>
    </w:p>
    <w:p>
      <w:pPr>
        <w:jc w:val="both"/>
      </w:pPr>
      <w:r>
        <w:t>La Phase A repose sur 3 serveurs dédiés aux rôles distincts. SRV-01 regroupe l’ensemble de la couche applicative (proxy, application, cache, queues). SRV-02 est entièrement dédié à la base de données. SRV-03 assure la supervision et les sauvegardes de façon isolée.</w:t>
      </w:r>
    </w:p>
    <w:p>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tr>
        <w:trPr>
          <w:tblHeader/>
        </w:trPr>
        <w:tc>
          <w:tcPr>
            <w:tcW w:w="1560" w:type="dxa"/>
          </w:tcPr>
          <w:p>
            <w:pPr>
              <w:jc w:val="both"/>
            </w:pPr>
            <w:r>
              <w:rPr>
                <w:b/>
                <w:bCs/>
              </w:rPr>
              <w:t>Serveur</w:t>
            </w:r>
          </w:p>
        </w:tc>
        <w:tc>
          <w:tcPr>
            <w:tcW w:w="1900" w:type="dxa"/>
          </w:tcPr>
          <w:p>
            <w:pPr>
              <w:jc w:val="both"/>
            </w:pPr>
            <w:r>
              <w:rPr>
                <w:b/>
                <w:bCs/>
              </w:rPr>
              <w:t>Rôle</w:t>
            </w:r>
          </w:p>
        </w:tc>
        <w:tc>
          <w:tcPr>
            <w:tcW w:w="1680" w:type="dxa"/>
          </w:tcPr>
          <w:p>
            <w:pPr>
              <w:jc w:val="both"/>
            </w:pPr>
            <w:r>
              <w:rPr>
                <w:b/>
                <w:bCs/>
              </w:rPr>
              <w:t>CPU</w:t>
            </w:r>
          </w:p>
        </w:tc>
        <w:tc>
          <w:tcPr>
            <w:tcW w:w="1260" w:type="dxa"/>
          </w:tcPr>
          <w:p>
            <w:pPr>
              <w:jc w:val="both"/>
            </w:pPr>
            <w:r>
              <w:rPr>
                <w:b/>
                <w:bCs/>
              </w:rPr>
              <w:t>RAM</w:t>
            </w:r>
          </w:p>
        </w:tc>
        <w:tc>
          <w:tcPr>
            <w:tcW w:w="1678" w:type="dxa"/>
          </w:tcPr>
          <w:p>
            <w:pPr>
              <w:jc w:val="both"/>
            </w:pPr>
            <w:r>
              <w:rPr>
                <w:b/>
                <w:bCs/>
              </w:rPr>
              <w:t>Stockage</w:t>
            </w:r>
          </w:p>
        </w:tc>
        <w:tc>
          <w:tcPr>
            <w:tcW w:w="1560" w:type="dxa"/>
          </w:tcPr>
          <w:p>
            <w:pPr>
              <w:jc w:val="both"/>
            </w:pPr>
            <w:r>
              <w:rPr>
                <w:b/>
                <w:bCs/>
              </w:rPr>
              <w:t>Réseau</w:t>
            </w:r>
          </w:p>
        </w:tc>
      </w:tr>
      <w:tr>
        <w:tc>
          <w:tcPr>
            <w:tcW w:w="1560" w:type="dxa"/>
          </w:tcPr>
          <w:p>
            <w:pPr>
              <w:jc w:val="both"/>
            </w:pPr>
            <w:r>
              <w:rPr>
                <w:b/>
                <w:bCs/>
              </w:rPr>
              <w:t>SRV-01</w:t>
            </w:r>
          </w:p>
          <w:p>
            <w:pPr>
              <w:jc w:val="both"/>
            </w:pPr>
            <w:r>
              <w:rPr>
                <w:b/>
                <w:bCs/>
              </w:rPr>
              <w:t>App / Proxy</w:t>
            </w:r>
          </w:p>
        </w:tc>
        <w:tc>
          <w:tcPr>
            <w:tcW w:w="1900" w:type="dxa"/>
          </w:tcPr>
          <w:p>
            <w:pPr>
              <w:jc w:val="both"/>
            </w:pPr>
            <w:r>
              <w:t>Nginx (proxy + TLS + cache statique)</w:t>
            </w:r>
          </w:p>
          <w:p>
            <w:pPr>
              <w:jc w:val="both"/>
            </w:pPr>
            <w:r>
              <w:t>PHP-FPM Laravel</w:t>
            </w:r>
          </w:p>
          <w:p>
            <w:pPr>
              <w:jc w:val="both"/>
            </w:pPr>
            <w:r>
              <w:t>Redis (cache + sessions)</w:t>
            </w:r>
          </w:p>
          <w:p>
            <w:pPr>
              <w:jc w:val="both"/>
            </w:pPr>
            <w:r>
              <w:t>Horizon (queues sync offline)</w:t>
            </w:r>
          </w:p>
        </w:tc>
        <w:tc>
          <w:tcPr>
            <w:tcW w:w="1680" w:type="dxa"/>
          </w:tcPr>
          <w:p>
            <w:pPr>
              <w:jc w:val="both"/>
            </w:pPr>
            <w:r>
              <w:t>16 vCPU</w:t>
            </w:r>
          </w:p>
          <w:p>
            <w:pPr>
              <w:jc w:val="both"/>
            </w:pPr>
            <w:r>
              <w:t>3,8 GHz</w:t>
            </w:r>
          </w:p>
          <w:p>
            <w:pPr>
              <w:jc w:val="both"/>
            </w:pPr>
            <w:r>
              <w:t>Xeon E-2300</w:t>
            </w:r>
          </w:p>
        </w:tc>
        <w:tc>
          <w:tcPr>
            <w:tcW w:w="1260" w:type="dxa"/>
          </w:tcPr>
          <w:p>
            <w:pPr>
              <w:jc w:val="both"/>
            </w:pPr>
            <w:r>
              <w:t>32 Go</w:t>
            </w:r>
          </w:p>
          <w:p>
            <w:pPr>
              <w:jc w:val="both"/>
            </w:pPr>
            <w:r>
              <w:t>DDR4 ECC</w:t>
            </w:r>
          </w:p>
        </w:tc>
        <w:tc>
          <w:tcPr>
            <w:tcW w:w="1678" w:type="dxa"/>
          </w:tcPr>
          <w:p>
            <w:pPr>
              <w:jc w:val="both"/>
            </w:pPr>
            <w:r>
              <w:t>2× 1 To NVMe</w:t>
            </w:r>
          </w:p>
          <w:p>
            <w:pPr>
              <w:jc w:val="both"/>
            </w:pPr>
            <w:r>
              <w:t>RAID 1</w:t>
            </w:r>
          </w:p>
        </w:tc>
        <w:tc>
          <w:tcPr>
            <w:tcW w:w="1560" w:type="dxa"/>
          </w:tcPr>
          <w:p>
            <w:pPr>
              <w:jc w:val="both"/>
            </w:pPr>
            <w:r>
              <w:t xml:space="preserve">1 Gbps dédié</w:t>
            </w:r>
          </w:p>
        </w:tc>
      </w:tr>
      <w:tr>
        <w:tc>
          <w:tcPr>
            <w:tcW w:w="1560" w:type="dxa"/>
          </w:tcPr>
          <w:p>
            <w:pPr>
              <w:jc w:val="both"/>
            </w:pPr>
            <w:r>
              <w:rPr>
                <w:b/>
                <w:bCs/>
              </w:rPr>
              <w:t>SRV-02</w:t>
            </w:r>
          </w:p>
          <w:p>
            <w:pPr>
              <w:jc w:val="both"/>
            </w:pPr>
            <w:r>
              <w:rPr>
                <w:b/>
                <w:bCs/>
              </w:rPr>
              <w:t>Base de données</w:t>
            </w:r>
          </w:p>
        </w:tc>
        <w:tc>
          <w:tcPr>
            <w:tcW w:w="1900" w:type="dxa"/>
          </w:tcPr>
          <w:p>
            <w:pPr>
              <w:jc w:val="both"/>
            </w:pPr>
            <w:r>
              <w:t>PostgreSQL 16</w:t>
            </w:r>
          </w:p>
          <w:p>
            <w:pPr>
              <w:jc w:val="both"/>
            </w:pPr>
            <w:r>
              <w:t>PgBouncer (pooler)</w:t>
            </w:r>
          </w:p>
          <w:p>
            <w:pPr>
              <w:jc w:val="both"/>
            </w:pPr>
            <w:r>
              <w:t>Base multi-tenant</w:t>
            </w:r>
          </w:p>
        </w:tc>
        <w:tc>
          <w:tcPr>
            <w:tcW w:w="1680" w:type="dxa"/>
          </w:tcPr>
          <w:p>
            <w:pPr>
              <w:jc w:val="both"/>
            </w:pPr>
            <w:r>
              <w:t>16 vCPU</w:t>
            </w:r>
          </w:p>
          <w:p>
            <w:pPr>
              <w:jc w:val="both"/>
            </w:pPr>
            <w:r>
              <w:t>3,8 GHz</w:t>
            </w:r>
          </w:p>
          <w:p>
            <w:pPr>
              <w:jc w:val="both"/>
            </w:pPr>
            <w:r>
              <w:t>Xeon E-2300</w:t>
            </w:r>
          </w:p>
        </w:tc>
        <w:tc>
          <w:tcPr>
            <w:tcW w:w="1260" w:type="dxa"/>
          </w:tcPr>
          <w:p>
            <w:pPr>
              <w:jc w:val="both"/>
            </w:pPr>
            <w:r>
              <w:t>64 Go</w:t>
            </w:r>
          </w:p>
          <w:p>
            <w:pPr>
              <w:jc w:val="both"/>
            </w:pPr>
            <w:r>
              <w:t>DDR4 ECC</w:t>
            </w:r>
          </w:p>
        </w:tc>
        <w:tc>
          <w:tcPr>
            <w:tcW w:w="1678" w:type="dxa"/>
          </w:tcPr>
          <w:p>
            <w:pPr>
              <w:jc w:val="both"/>
            </w:pPr>
            <w:r>
              <w:t>2× 2 To NVMe</w:t>
            </w:r>
          </w:p>
          <w:p>
            <w:pPr>
              <w:jc w:val="both"/>
            </w:pPr>
            <w:r>
              <w:t>RAID 1</w:t>
            </w:r>
          </w:p>
        </w:tc>
        <w:tc>
          <w:tcPr>
            <w:tcW w:w="1560" w:type="dxa"/>
          </w:tcPr>
          <w:p>
            <w:pPr>
              <w:jc w:val="both"/>
            </w:pPr>
            <w:r>
              <w:t xml:space="preserve">1 Gbps réseau privé</w:t>
            </w:r>
          </w:p>
        </w:tc>
      </w:tr>
      <w:tr>
        <w:tc>
          <w:tcPr>
            <w:tcW w:w="1560" w:type="dxa"/>
          </w:tcPr>
          <w:p>
            <w:pPr>
              <w:jc w:val="both"/>
            </w:pPr>
            <w:r>
              <w:rPr>
                <w:b/>
                <w:bCs/>
              </w:rPr>
              <w:t>SRV-03</w:t>
            </w:r>
          </w:p>
          <w:p>
            <w:pPr>
              <w:jc w:val="both"/>
            </w:pPr>
            <w:r>
              <w:rPr>
                <w:b/>
                <w:bCs/>
              </w:rPr>
              <w:t>Monitoring / Backup</w:t>
            </w:r>
          </w:p>
        </w:tc>
        <w:tc>
          <w:tcPr>
            <w:tcW w:w="1900" w:type="dxa"/>
          </w:tcPr>
          <w:p>
            <w:pPr>
              <w:jc w:val="both"/>
            </w:pPr>
            <w:r>
              <w:t>Zabbix Server</w:t>
            </w:r>
          </w:p>
          <w:p>
            <w:pPr>
              <w:jc w:val="both"/>
            </w:pPr>
            <w:r>
              <w:t>Agent de sauvegarde</w:t>
            </w:r>
          </w:p>
          <w:p>
            <w:pPr>
              <w:jc w:val="both"/>
            </w:pPr>
            <w:r>
              <w:t>Logs centralisés (rsyslog)</w:t>
            </w:r>
          </w:p>
        </w:tc>
        <w:tc>
          <w:tcPr>
            <w:tcW w:w="1680" w:type="dxa"/>
          </w:tcPr>
          <w:p>
            <w:pPr>
              <w:jc w:val="both"/>
            </w:pPr>
            <w:r>
              <w:t>4 vCPU</w:t>
            </w:r>
          </w:p>
          <w:p>
            <w:pPr>
              <w:jc w:val="both"/>
            </w:pPr>
            <w:r>
              <w:t>3,0 GHz</w:t>
            </w:r>
          </w:p>
        </w:tc>
        <w:tc>
          <w:tcPr>
            <w:tcW w:w="1260" w:type="dxa"/>
          </w:tcPr>
          <w:p>
            <w:pPr>
              <w:jc w:val="both"/>
            </w:pPr>
            <w:r>
              <w:t>8 Go</w:t>
            </w:r>
          </w:p>
          <w:p>
            <w:pPr>
              <w:jc w:val="both"/>
            </w:pPr>
            <w:r>
              <w:t>DDR4</w:t>
            </w:r>
          </w:p>
        </w:tc>
        <w:tc>
          <w:tcPr>
            <w:tcW w:w="1678" w:type="dxa"/>
          </w:tcPr>
          <w:p>
            <w:pPr>
              <w:jc w:val="both"/>
            </w:pPr>
            <w:r>
              <w:t>1× 4 To</w:t>
            </w:r>
          </w:p>
          <w:p>
            <w:pPr>
              <w:jc w:val="both"/>
            </w:pPr>
            <w:r>
              <w:t>SATA SSD</w:t>
            </w:r>
          </w:p>
        </w:tc>
        <w:tc>
          <w:tcPr>
            <w:tcW w:w="1560" w:type="dxa"/>
          </w:tcPr>
          <w:p>
            <w:pPr>
              <w:jc w:val="both"/>
            </w:pPr>
            <w:r>
              <w:t xml:space="preserve">500 Mbps</w:t>
            </w:r>
          </w:p>
        </w:tc>
      </w:tr>
    </w:tbl>
    <w:p>
      <w:pPr>
        <w:jc w:val="both"/>
      </w:pPr>
    </w:p>
    <w:p>
      <w:pPr>
        <w:pStyle w:val="Titre2"/>
        <w:jc w:val="both"/>
      </w:pPr>
      <w:r>
        <w:t>1.2 Justification de la consolidation sur SRV-01</w:t>
      </w:r>
    </w:p>
    <w:p>
      <w:pPr>
        <w:jc w:val="both"/>
      </w:pPr>
    </w:p>
    <w:p>
      <w:pPr>
        <w:pStyle w:val="Titre3"/>
        <w:jc w:val="both"/>
      </w:pPr>
      <w:r>
        <w:t>Profils de ressources compatibles</w:t>
      </w:r>
    </w:p>
    <w:p>
      <w:pPr>
        <w:jc w:val="both"/>
      </w:pPr>
      <w:r>
        <w:t>Nginx, PHP-FPM, Redis et Horizon ont des profils de consommation complémentaires qui se prêtent à la colocalisation :</w:t>
      </w:r>
    </w:p>
    <w:p>
      <w:pPr>
        <w:pStyle w:val="Paragraphedeliste"/>
        <w:jc w:val="both"/>
      </w:pPr>
      <w:r>
        <w:rPr>
          <w:b/>
          <w:bCs/>
        </w:rPr>
        <w:t xml:space="preserve">Nginx : </w:t>
      </w:r>
      <w:r>
        <w:t>très faible consommation CPU et mémoire (~2 Mo/worker). Son activité est principalement I/O réseau, sans concurrence avec PHP-FPM sur le CPU.</w:t>
      </w:r>
    </w:p>
    <w:p>
      <w:pPr>
        <w:pStyle w:val="Paragraphedeliste"/>
        <w:jc w:val="both"/>
      </w:pPr>
      <w:r>
        <w:rPr>
          <w:b/>
          <w:bCs/>
        </w:rPr>
        <w:t xml:space="preserve">Redis : </w:t>
      </w:r>
      <w:r>
        <w:t>intégralement en mémoire, faible CPU sauf pour les opérations de persistance (RDB/AOF configurées hors des heures de pointe). Sur 32 Go RAM, 10 Go alloués à Redis laissent 20+ Go à PHP-FPM.</w:t>
      </w:r>
    </w:p>
    <w:p>
      <w:pPr>
        <w:pStyle w:val="Paragraphedeliste"/>
        <w:jc w:val="both"/>
      </w:pPr>
      <w:r>
        <w:rPr>
          <w:b/>
          <w:bCs/>
        </w:rPr>
        <w:t xml:space="preserve">Horizon : </w:t>
      </w:r>
      <w:r>
        <w:t>consomme du CPU par rafales lors des pics de synchronisation offline, mais ces pics sont asynchrones et ne bloquent pas les requêtes HTTP synchrones grâce à la séparation par processus.</w:t>
      </w:r>
    </w:p>
    <w:p>
      <w:pPr>
        <w:jc w:val="both"/>
      </w:pPr>
      <w:r>
        <w:t>Avec 16 vCPU, chaque composant dispose de cœurs dédiés sans contention significative jusqu’à ~200 utilisateurs concurrents (horizon 12 mois).</w:t>
      </w:r>
    </w:p>
    <w:p>
      <w:pPr>
        <w:jc w:val="both"/>
      </w:pPr>
    </w:p>
    <w:p>
      <w:pPr>
        <w:pStyle w:val="Titre3"/>
        <w:jc w:val="both"/>
      </w:pPr>
      <w:r>
        <w:t>Séparation BDD préservée</w:t>
      </w:r>
    </w:p>
    <w:p>
      <w:pPr>
        <w:jc w:val="both"/>
      </w:pPr>
      <w:r>
        <w:t>PostgreSQL (SRV-02) conserve un accès I/O exclusif à ses NVMe — le profil le plus sensible aux perturbations d’entrées/sorties. Partager le disque entre Laravel et PostgreSQL sur un même serveur aurait dégradé les deux composants ; la séparation physique sur SRV-02 est le choix structurant non négociable de cette architecture.</w:t>
      </w:r>
    </w:p>
    <w:p>
      <w:pPr>
        <w:jc w:val="both"/>
      </w:pPr>
    </w:p>
    <w:p>
      <w:pPr>
        <w:pStyle w:val="Titre3"/>
        <w:jc w:val="both"/>
      </w:pPr>
      <w:r>
        <w:t>Tenue en charge — Phase A</w:t>
      </w:r>
    </w:p>
    <w:p>
      <w:pPr>
        <w:pStyle w:val="Paragraphedeliste"/>
        <w:jc w:val="both"/>
      </w:pPr>
      <w:r>
        <w:rPr>
          <w:b/>
          <w:bCs/>
        </w:rPr>
        <w:t xml:space="preserve">SRV-01 : </w:t>
      </w:r>
      <w:r>
        <w:t>PHP-FPM avec 60 workers actifs supporte 180+ requêtes HTTP concurrentes. Nginx absorbe 2 000+ req/s en statique sans saturer le CPU. Horizon traite 400+ jobs/min sans impacter les requêtes synchrones.</w:t>
      </w:r>
    </w:p>
    <w:p>
      <w:pPr>
        <w:pStyle w:val="Paragraphedeliste"/>
        <w:jc w:val="both"/>
      </w:pPr>
      <w:r>
        <w:rPr>
          <w:b/>
          <w:bCs/>
        </w:rPr>
        <w:t xml:space="preserve">SRV-02 : </w:t>
      </w:r>
      <w:r>
        <w:t>PgBouncer + 64 Go RAM permettent de maintenir le working set des tables actives entièrement en mémoire. Latence P99 &amp;lt; 10 ms à 75 connexions simultanées.</w:t>
      </w:r>
    </w:p>
    <w:p>
      <w:pPr>
        <w:pStyle w:val="Paragraphedeliste"/>
        <w:jc w:val="both"/>
      </w:pPr>
      <w:r>
        <w:rPr>
          <w:b/>
          <w:bCs/>
        </w:rPr>
        <w:t xml:space="preserve">Redis (sur SRV-01) : </w:t>
      </w:r>
      <w:r>
        <w:t>10 Go alloués absorbent 8 000+ opérations/s — adapté aux 300 sessions simultanées horizon 12 mois.</w:t>
      </w:r>
    </w:p>
    <w:p>
      <w:pPr>
        <w:jc w:val="both"/>
      </w:pPr>
    </w:p>
    <w:p>
      <w:pPr>
        <w:pStyle w:val="Titre3"/>
        <w:jc w:val="both"/>
      </w:pPr>
      <w:r>
        <w:t>Chemin d’isolation progressif (vers Phase B)</w:t>
      </w:r>
    </w:p>
    <w:p>
      <w:pPr>
        <w:jc w:val="both"/>
      </w:pPr>
      <w:r>
        <w:t>Le premier signal de saturation attendu est la CPU de SRV-01. Selon le composant dominant en charge, deux chemins sont possibles :</w:t>
      </w:r>
    </w:p>
    <w:p>
      <w:pPr>
        <w:pStyle w:val="Paragraphedeliste"/>
        <w:jc w:val="both"/>
      </w:pPr>
      <w:r>
        <w:rPr>
          <w:b/>
          <w:bCs/>
        </w:rPr>
        <w:t xml:space="preserve">Si Horizon/Redis sature : </w:t>
      </w:r>
      <w:r>
        <w:t>extraction sur un nouveau nœud SRV-04 dédié, sans modification applicative (changement de la variable REDIS_HOST dans .env).</w:t>
      </w:r>
    </w:p>
    <w:p>
      <w:pPr>
        <w:pStyle w:val="Paragraphedeliste"/>
        <w:jc w:val="both"/>
      </w:pPr>
      <w:r>
        <w:rPr>
          <w:b/>
          <w:bCs/>
        </w:rPr>
        <w:t xml:space="preserve">Si PHP-FPM sature : </w:t>
      </w:r>
      <w:r>
        <w:t>ajout d’un second nœud Laravel (SRV-01b) derrière un load balancer HAProxy — préparation sans état applicatif (stateless) dès le départ.</w:t>
      </w:r>
    </w:p>
    <w:p>
      <w:r>
        <w:br w:type="page"/>
      </w:r>
    </w:p>
    <w:p>
      <w:pPr>
        <w:pStyle w:val="Titre1"/>
        <w:jc w:val="both"/>
      </w:pPr>
      <w:r>
        <w:t>2. OPTIMISATION DE LA STACK LOGICIELLE</w:t>
      </w:r>
    </w:p>
    <w:p>
      <w:pPr>
        <w:jc w:val="both"/>
      </w:pPr>
    </w:p>
    <w:p>
      <w:pPr>
        <w:pStyle w:val="Titre2"/>
        <w:jc w:val="both"/>
      </w:pPr>
      <w:r>
        <w:t>2.1 PHP-FPM / Laravel — Configuration production</w:t>
      </w:r>
    </w:p>
    <w:p>
      <w:pPr>
        <w:jc w:val="both"/>
      </w:pPr>
    </w:p>
    <w:p>
      <w:pPr>
        <w:pStyle w:val="Titre3"/>
        <w:jc w:val="both"/>
      </w:pPr>
      <w:r>
        <w:t>PHP-FPM (SRV-01 — 16 vCPU, 32 Go RAM)</w:t>
      </w:r>
    </w:p>
    <w:p>
      <w:pPr>
        <w:jc w:val="both"/>
      </w:pPr>
      <w:r>
        <w:t>Pool de workers en mode dynamic. Redis et Horizon occupant environ 10 Go et 2–3 vCPU, le pool PHP-FPM est calibré pour utiliser les ressources restantes :</w:t>
      </w:r>
    </w:p>
    <w:p>
      <w:pPr>
        <w:ind w:left="720"/>
        <w:jc w:val="both"/>
      </w:pPr>
      <w:r>
        <w:rPr>
          <w:rFonts w:ascii="Courier New" w:hAnsi="Courier New"/>
          <w:sz w:val="20"/>
          <w:szCs w:val="20"/>
        </w:rPr>
        <w:t xml:space="preserve">pm = dynamic</w:t>
      </w:r>
    </w:p>
    <w:p>
      <w:pPr>
        <w:ind w:left="720"/>
        <w:jc w:val="both"/>
      </w:pPr>
      <w:r>
        <w:rPr>
          <w:rFonts w:ascii="Courier New" w:hAnsi="Courier New"/>
          <w:sz w:val="20"/>
          <w:szCs w:val="20"/>
        </w:rPr>
        <w:t xml:space="preserve">pm.max_children = 60</w:t>
      </w:r>
    </w:p>
    <w:p>
      <w:pPr>
        <w:ind w:left="720"/>
        <w:jc w:val="both"/>
      </w:pPr>
      <w:r>
        <w:rPr>
          <w:rFonts w:ascii="Courier New" w:hAnsi="Courier New"/>
          <w:sz w:val="20"/>
          <w:szCs w:val="20"/>
        </w:rPr>
        <w:t xml:space="preserve">pm.start_servers = 15</w:t>
      </w:r>
    </w:p>
    <w:p>
      <w:pPr>
        <w:ind w:left="720"/>
        <w:jc w:val="both"/>
      </w:pPr>
      <w:r>
        <w:rPr>
          <w:rFonts w:ascii="Courier New" w:hAnsi="Courier New"/>
          <w:sz w:val="20"/>
          <w:szCs w:val="20"/>
        </w:rPr>
        <w:t xml:space="preserve">pm.min_spare_servers = 10</w:t>
      </w:r>
    </w:p>
    <w:p>
      <w:pPr>
        <w:ind w:left="720"/>
        <w:jc w:val="both"/>
      </w:pPr>
      <w:r>
        <w:rPr>
          <w:rFonts w:ascii="Courier New" w:hAnsi="Courier New"/>
          <w:sz w:val="20"/>
          <w:szCs w:val="20"/>
        </w:rPr>
        <w:t xml:space="preserve">pm.max_spare_servers = 30</w:t>
      </w:r>
    </w:p>
    <w:p>
      <w:pPr>
        <w:ind w:left="720"/>
        <w:jc w:val="both"/>
      </w:pPr>
      <w:r>
        <w:rPr>
          <w:rFonts w:ascii="Courier New" w:hAnsi="Courier New"/>
          <w:sz w:val="20"/>
          <w:szCs w:val="20"/>
        </w:rPr>
        <w:t xml:space="preserve">pm.max_requests = 500    ; recycle workers — prévient fuites mémoire</w:t>
      </w:r>
    </w:p>
    <w:p>
      <w:pPr>
        <w:ind w:left="720"/>
        <w:jc w:val="both"/>
      </w:pPr>
      <w:r>
        <w:rPr>
          <w:rFonts w:ascii="Courier New" w:hAnsi="Courier New"/>
          <w:sz w:val="20"/>
          <w:szCs w:val="20"/>
        </w:rPr>
        <w:t xml:space="preserve">pm.process_idle_timeout = 10s</w:t>
      </w:r>
    </w:p>
    <w:p>
      <w:pPr>
        <w:jc w:val="both"/>
      </w:pPr>
    </w:p>
    <w:p>
      <w:pPr>
        <w:jc w:val="both"/>
      </w:pPr>
      <w:r>
        <w:t>OPcache est activé avec preloading (PHP 8.2+) pour éliminer le coût de compilation à chaque requête. La directive opcache.memory_consumption est fixée à 256 Mo.</w:t>
      </w:r>
    </w:p>
    <w:p>
      <w:pPr>
        <w:jc w:val="both"/>
      </w:pPr>
    </w:p>
    <w:p>
      <w:pPr>
        <w:pStyle w:val="Titre3"/>
        <w:jc w:val="both"/>
      </w:pPr>
      <w:r>
        <w:t>Laravel — Paramètres clés</w:t>
      </w:r>
    </w:p>
    <w:p>
      <w:pPr>
        <w:pStyle w:val="Paragraphedeliste"/>
        <w:jc w:val="both"/>
      </w:pPr>
      <w:r>
        <w:rPr>
          <w:b/>
          <w:bCs/>
        </w:rPr>
        <w:t>APP_ENV=production, APP_DEBUG=false</w:t>
      </w:r>
      <w:r>
        <w:t xml:space="preserve"> (impératif — exclut les stack traces des réponses API).</w:t>
      </w:r>
    </w:p>
    <w:p>
      <w:pPr>
        <w:pStyle w:val="Paragraphedeliste"/>
        <w:jc w:val="both"/>
      </w:pPr>
      <w:r>
        <w:rPr>
          <w:b/>
          <w:bCs/>
        </w:rPr>
        <w:t>config:cache, route:cache, view:cache</w:t>
      </w:r>
      <w:r>
        <w:t xml:space="preserve"> activés au déploiement (réduit jusqu’à 40 % le temps de bootstrap).</w:t>
      </w:r>
    </w:p>
    <w:p>
      <w:pPr>
        <w:pStyle w:val="Paragraphedeliste"/>
        <w:jc w:val="both"/>
      </w:pPr>
      <w:r>
        <w:rPr>
          <w:b/>
          <w:bCs/>
        </w:rPr>
        <w:t>Session driver : Redis</w:t>
      </w:r>
      <w:r>
        <w:t xml:space="preserve"> — jamais file ou cookie pour une application multi-tenant.</w:t>
      </w:r>
    </w:p>
    <w:p>
      <w:pPr>
        <w:pStyle w:val="Paragraphedeliste"/>
        <w:jc w:val="both"/>
      </w:pPr>
      <w:r>
        <w:rPr>
          <w:b/>
          <w:bCs/>
        </w:rPr>
        <w:t>Queue driver : Redis</w:t>
      </w:r>
      <w:r>
        <w:t xml:space="preserve"> (SRV-01 local, latence &amp;lt; 0,1 ms entre PHP-FPM et Redis sur le même serveur).</w:t>
      </w:r>
    </w:p>
    <w:p>
      <w:pPr>
        <w:pStyle w:val="Paragraphedeliste"/>
        <w:jc w:val="both"/>
      </w:pPr>
      <w:r>
        <w:rPr>
          <w:b/>
          <w:bCs/>
        </w:rPr>
        <w:t>Telescope</w:t>
      </w:r>
      <w:r>
        <w:t xml:space="preserve"> désactivé en production (remplacé par logs structurés vers SRV-03).</w:t>
      </w:r>
    </w:p>
    <w:p>
      <w:pPr>
        <w:jc w:val="both"/>
      </w:pPr>
    </w:p>
    <w:p>
      <w:pPr>
        <w:pStyle w:val="Titre2"/>
        <w:jc w:val="both"/>
      </w:pPr>
      <w:r>
        <w:t>2.2 Stratégie de cache — Redis</w:t>
      </w:r>
    </w:p>
    <w:p>
      <w:pPr>
        <w:jc w:val="both"/>
      </w:pPr>
      <w:r>
        <w:t>Redis est configuré sur SRV-01 avec 10 Go de mémoire allouée (maxmemory 10gb). La politique d’éviction retenue est allkeys-lru : les données les moins récemment utilisées sont évincées sans bloquer les nouvelles entrées. Les sauvegardes RDB sont planifiées toutes les 6 heures, hors heures de pointe, pour ne pas perturber les workers PHP-FPM.</w:t>
      </w:r>
    </w:p>
    <w:p>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tr>
        <w:trPr>
          <w:tblHeader/>
        </w:trPr>
        <w:tc>
          <w:tcPr>
            <w:tcW w:w="2400" w:type="dxa"/>
          </w:tcPr>
          <w:p>
            <w:pPr>
              <w:jc w:val="both"/>
            </w:pPr>
            <w:r>
              <w:rPr>
                <w:b/>
                <w:bCs/>
              </w:rPr>
              <w:t xml:space="preserve">Namespace Redis</w:t>
            </w:r>
          </w:p>
        </w:tc>
        <w:tc>
          <w:tcPr>
            <w:tcW w:w="2500" w:type="dxa"/>
          </w:tcPr>
          <w:p>
            <w:pPr>
              <w:jc w:val="both"/>
            </w:pPr>
            <w:r>
              <w:rPr>
                <w:b/>
                <w:bCs/>
              </w:rPr>
              <w:t xml:space="preserve">Données cachées</w:t>
            </w:r>
          </w:p>
        </w:tc>
        <w:tc>
          <w:tcPr>
            <w:tcW w:w="1538" w:type="dxa"/>
          </w:tcPr>
          <w:p>
            <w:pPr>
              <w:jc w:val="both"/>
            </w:pPr>
            <w:r>
              <w:rPr>
                <w:b/>
                <w:bCs/>
              </w:rPr>
              <w:t>TTL</w:t>
            </w:r>
          </w:p>
        </w:tc>
        <w:tc>
          <w:tcPr>
            <w:tcW w:w="3200" w:type="dxa"/>
          </w:tcPr>
          <w:p>
            <w:pPr>
              <w:jc w:val="both"/>
            </w:pPr>
            <w:r>
              <w:rPr>
                <w:b/>
                <w:bCs/>
              </w:rPr>
              <w:t>Justification</w:t>
            </w:r>
          </w:p>
        </w:tc>
      </w:tr>
      <w:tr>
        <w:tc>
          <w:tcPr>
            <w:tcW w:w="2400" w:type="dxa"/>
          </w:tcPr>
          <w:p>
            <w:pPr>
              <w:jc w:val="both"/>
            </w:pPr>
            <w:r>
              <w:rPr>
                <w:b/>
                <w:bCs/>
              </w:rPr>
              <w:t>tenant:{id}:products</w:t>
            </w:r>
          </w:p>
        </w:tc>
        <w:tc>
          <w:tcPr>
            <w:tcW w:w="2500" w:type="dxa"/>
          </w:tcPr>
          <w:p>
            <w:pPr>
              <w:jc w:val="both"/>
            </w:pPr>
            <w:r>
              <w:t xml:space="preserve">Catalogue produits / catégories</w:t>
            </w:r>
          </w:p>
        </w:tc>
        <w:tc>
          <w:tcPr>
            <w:tcW w:w="1538" w:type="dxa"/>
          </w:tcPr>
          <w:p>
            <w:pPr>
              <w:jc w:val="both"/>
            </w:pPr>
            <w:r>
              <w:t xml:space="preserve">30 min</w:t>
            </w:r>
          </w:p>
        </w:tc>
        <w:tc>
          <w:tcPr>
            <w:tcW w:w="3200" w:type="dxa"/>
          </w:tcPr>
          <w:p>
            <w:pPr>
              <w:jc w:val="both"/>
            </w:pPr>
            <w:r>
              <w:t xml:space="preserve">Données stables, lectures fréquentes en POS</w:t>
            </w:r>
          </w:p>
        </w:tc>
      </w:tr>
      <w:tr>
        <w:tc>
          <w:tcPr>
            <w:tcW w:w="2400" w:type="dxa"/>
          </w:tcPr>
          <w:p>
            <w:pPr>
              <w:jc w:val="both"/>
            </w:pPr>
            <w:r>
              <w:rPr>
                <w:b/>
                <w:bCs/>
              </w:rPr>
              <w:t>tenant:{id}:stats_day</w:t>
            </w:r>
          </w:p>
        </w:tc>
        <w:tc>
          <w:tcPr>
            <w:tcW w:w="2500" w:type="dxa"/>
          </w:tcPr>
          <w:p>
            <w:pPr>
              <w:jc w:val="both"/>
            </w:pPr>
            <w:r>
              <w:t xml:space="preserve">Statistiques journ. agrégées</w:t>
            </w:r>
          </w:p>
        </w:tc>
        <w:tc>
          <w:tcPr>
            <w:tcW w:w="1538" w:type="dxa"/>
          </w:tcPr>
          <w:p>
            <w:pPr>
              <w:jc w:val="both"/>
            </w:pPr>
            <w:r>
              <w:t xml:space="preserve">10 min</w:t>
            </w:r>
          </w:p>
        </w:tc>
        <w:tc>
          <w:tcPr>
            <w:tcW w:w="3200" w:type="dxa"/>
          </w:tcPr>
          <w:p>
            <w:pPr>
              <w:jc w:val="both"/>
            </w:pPr>
            <w:r>
              <w:t xml:space="preserve">Tableaux de bord — fraîcheur acceptable</w:t>
            </w:r>
          </w:p>
        </w:tc>
      </w:tr>
      <w:tr>
        <w:tc>
          <w:tcPr>
            <w:tcW w:w="2400" w:type="dxa"/>
          </w:tcPr>
          <w:p>
            <w:pPr>
              <w:jc w:val="both"/>
            </w:pPr>
            <w:r>
              <w:rPr>
                <w:b/>
                <w:bCs/>
              </w:rPr>
              <w:t>session:{token}</w:t>
            </w:r>
          </w:p>
        </w:tc>
        <w:tc>
          <w:tcPr>
            <w:tcW w:w="2500" w:type="dxa"/>
          </w:tcPr>
          <w:p>
            <w:pPr>
              <w:jc w:val="both"/>
            </w:pPr>
            <w:r>
              <w:t xml:space="preserve">Sessions utilisateurs Laravel</w:t>
            </w:r>
          </w:p>
        </w:tc>
        <w:tc>
          <w:tcPr>
            <w:tcW w:w="1538" w:type="dxa"/>
          </w:tcPr>
          <w:p>
            <w:pPr>
              <w:jc w:val="both"/>
            </w:pPr>
            <w:r>
              <w:t xml:space="preserve">120 min (sliding)</w:t>
            </w:r>
          </w:p>
        </w:tc>
        <w:tc>
          <w:tcPr>
            <w:tcW w:w="3200" w:type="dxa"/>
          </w:tcPr>
          <w:p>
            <w:pPr>
              <w:jc w:val="both"/>
            </w:pPr>
            <w:r>
              <w:t xml:space="preserve">Sécurité + performance auth</w:t>
            </w:r>
          </w:p>
        </w:tc>
      </w:tr>
      <w:tr>
        <w:tc>
          <w:tcPr>
            <w:tcW w:w="2400" w:type="dxa"/>
          </w:tcPr>
          <w:p>
            <w:pPr>
              <w:jc w:val="both"/>
            </w:pPr>
            <w:r>
              <w:rPr>
                <w:b/>
                <w:bCs/>
              </w:rPr>
              <w:t>sync:offline:{device}</w:t>
            </w:r>
          </w:p>
        </w:tc>
        <w:tc>
          <w:tcPr>
            <w:tcW w:w="2500" w:type="dxa"/>
          </w:tcPr>
          <w:p>
            <w:pPr>
              <w:jc w:val="both"/>
            </w:pPr>
            <w:r>
              <w:t xml:space="preserve">Queue état sync mobile → serveur</w:t>
            </w:r>
          </w:p>
        </w:tc>
        <w:tc>
          <w:tcPr>
            <w:tcW w:w="1538" w:type="dxa"/>
          </w:tcPr>
          <w:p>
            <w:pPr>
              <w:jc w:val="both"/>
            </w:pPr>
            <w:r>
              <w:t xml:space="preserve">Sans expiry (Horizon)</w:t>
            </w:r>
          </w:p>
        </w:tc>
        <w:tc>
          <w:tcPr>
            <w:tcW w:w="3200" w:type="dxa"/>
          </w:tcPr>
          <w:p>
            <w:pPr>
              <w:jc w:val="both"/>
            </w:pPr>
            <w:r>
              <w:t xml:space="preserve">File persistante jusqu’à ACK côté serveur</w:t>
            </w:r>
          </w:p>
        </w:tc>
      </w:tr>
      <w:tr>
        <w:tc>
          <w:tcPr>
            <w:tcW w:w="2400" w:type="dxa"/>
          </w:tcPr>
          <w:p>
            <w:pPr>
              <w:jc w:val="both"/>
            </w:pPr>
            <w:r>
              <w:rPr>
                <w:b/>
                <w:bCs/>
              </w:rPr>
              <w:t>rate_limit:{ip}:{route}</w:t>
            </w:r>
          </w:p>
        </w:tc>
        <w:tc>
          <w:tcPr>
            <w:tcW w:w="2500" w:type="dxa"/>
          </w:tcPr>
          <w:p>
            <w:pPr>
              <w:jc w:val="both"/>
            </w:pPr>
            <w:r>
              <w:t xml:space="preserve">Compteurs rate limiting API</w:t>
            </w:r>
          </w:p>
        </w:tc>
        <w:tc>
          <w:tcPr>
            <w:tcW w:w="1538" w:type="dxa"/>
          </w:tcPr>
          <w:p>
            <w:pPr>
              <w:jc w:val="both"/>
            </w:pPr>
            <w:r>
              <w:t xml:space="preserve">60 s (glissant)</w:t>
            </w:r>
          </w:p>
        </w:tc>
        <w:tc>
          <w:tcPr>
            <w:tcW w:w="3200" w:type="dxa"/>
          </w:tcPr>
          <w:p>
            <w:pPr>
              <w:jc w:val="both"/>
            </w:pPr>
            <w:r>
              <w:t xml:space="preserve">Protection DDoS applicatif avant Laravel</w:t>
            </w:r>
          </w:p>
        </w:tc>
      </w:tr>
      <w:tr>
        <w:tc>
          <w:tcPr>
            <w:tcW w:w="2400" w:type="dxa"/>
          </w:tcPr>
          <w:p>
            <w:pPr>
              <w:jc w:val="both"/>
            </w:pPr>
            <w:r>
              <w:rPr>
                <w:b/>
                <w:bCs/>
              </w:rPr>
              <w:t>config:{tenant}</w:t>
            </w:r>
          </w:p>
        </w:tc>
        <w:tc>
          <w:tcPr>
            <w:tcW w:w="2500" w:type="dxa"/>
          </w:tcPr>
          <w:p>
            <w:pPr>
              <w:jc w:val="both"/>
            </w:pPr>
            <w:r>
              <w:t xml:space="preserve">Config tenant (plan, feature flags V0/V1/V2)</w:t>
            </w:r>
          </w:p>
        </w:tc>
        <w:tc>
          <w:tcPr>
            <w:tcW w:w="1538" w:type="dxa"/>
          </w:tcPr>
          <w:p>
            <w:pPr>
              <w:jc w:val="both"/>
            </w:pPr>
            <w:r>
              <w:t xml:space="preserve">1 h</w:t>
            </w:r>
          </w:p>
        </w:tc>
        <w:tc>
          <w:tcPr>
            <w:tcW w:w="3200" w:type="dxa"/>
          </w:tcPr>
          <w:p>
            <w:pPr>
              <w:jc w:val="both"/>
            </w:pPr>
            <w:r>
              <w:t xml:space="preserve">Évite requêtes BDD à chaque bootstrap Laravel</w:t>
            </w:r>
          </w:p>
        </w:tc>
      </w:tr>
    </w:tbl>
    <w:p>
      <w:pPr>
        <w:jc w:val="both"/>
      </w:pPr>
    </w:p>
    <w:p>
      <w:pPr>
        <w:pStyle w:val="Titre2"/>
        <w:jc w:val="both"/>
      </w:pPr>
      <w:r>
        <w:t>2.3 Optimisation PostgreSQL (SRV-02 — 16 vCPU, 64 Go RAM)</w:t>
      </w:r>
    </w:p>
    <w:p>
      <w:pPr>
        <w:jc w:val="both"/>
      </w:pPr>
    </w:p>
    <w:p>
      <w:pPr>
        <w:pStyle w:val="Titre3"/>
        <w:jc w:val="both"/>
      </w:pPr>
      <w:r>
        <w:t>Paramètres postgresql.conf</w:t>
      </w:r>
    </w:p>
    <w:p>
      <w:pPr>
        <w:ind w:left="720"/>
        <w:jc w:val="both"/>
      </w:pPr>
      <w:r>
        <w:rPr>
          <w:rFonts w:ascii="Courier New" w:hAnsi="Courier New"/>
          <w:sz w:val="20"/>
          <w:szCs w:val="20"/>
        </w:rPr>
        <w:t xml:space="preserve">max_connections = 200           ; géré via PgBouncer (pooler)</w:t>
      </w:r>
    </w:p>
    <w:p>
      <w:pPr>
        <w:ind w:left="720"/>
        <w:jc w:val="both"/>
      </w:pPr>
      <w:r>
        <w:rPr>
          <w:rFonts w:ascii="Courier New" w:hAnsi="Courier New"/>
          <w:sz w:val="20"/>
          <w:szCs w:val="20"/>
        </w:rPr>
        <w:t xml:space="preserve">shared_buffers = 16GB           ; 25 % de la RAM</w:t>
      </w:r>
    </w:p>
    <w:p>
      <w:pPr>
        <w:ind w:left="720"/>
        <w:jc w:val="both"/>
      </w:pPr>
      <w:r>
        <w:rPr>
          <w:rFonts w:ascii="Courier New" w:hAnsi="Courier New"/>
          <w:sz w:val="20"/>
          <w:szCs w:val="20"/>
        </w:rPr>
        <w:t xml:space="preserve">effective_cache_size = 48GB     ; 75 % de la RAM</w:t>
      </w:r>
    </w:p>
    <w:p>
      <w:pPr>
        <w:ind w:left="720"/>
        <w:jc w:val="both"/>
      </w:pPr>
      <w:r>
        <w:rPr>
          <w:rFonts w:ascii="Courier New" w:hAnsi="Courier New"/>
          <w:sz w:val="20"/>
          <w:szCs w:val="20"/>
        </w:rPr>
        <w:t xml:space="preserve">work_mem = 64MB                 ; par tri/opération</w:t>
      </w:r>
    </w:p>
    <w:p>
      <w:pPr>
        <w:ind w:left="720"/>
        <w:jc w:val="both"/>
      </w:pPr>
      <w:r>
        <w:rPr>
          <w:rFonts w:ascii="Courier New" w:hAnsi="Courier New"/>
          <w:sz w:val="20"/>
          <w:szCs w:val="20"/>
        </w:rPr>
        <w:t xml:space="preserve">maintenance_work_mem = 2GB</w:t>
      </w:r>
    </w:p>
    <w:p>
      <w:pPr>
        <w:ind w:left="720"/>
        <w:jc w:val="both"/>
      </w:pPr>
      <w:r>
        <w:rPr>
          <w:rFonts w:ascii="Courier New" w:hAnsi="Courier New"/>
          <w:sz w:val="20"/>
          <w:szCs w:val="20"/>
        </w:rPr>
        <w:t xml:space="preserve">wal_buffers = 64MB</w:t>
      </w:r>
    </w:p>
    <w:p>
      <w:pPr>
        <w:ind w:left="720"/>
        <w:jc w:val="both"/>
      </w:pPr>
      <w:r>
        <w:rPr>
          <w:rFonts w:ascii="Courier New" w:hAnsi="Courier New"/>
          <w:sz w:val="20"/>
          <w:szCs w:val="20"/>
        </w:rPr>
        <w:t xml:space="preserve">checkpoint_completion_target = 0.9</w:t>
      </w:r>
    </w:p>
    <w:p>
      <w:pPr>
        <w:ind w:left="720"/>
        <w:jc w:val="both"/>
      </w:pPr>
      <w:r>
        <w:rPr>
          <w:rFonts w:ascii="Courier New" w:hAnsi="Courier New"/>
          <w:sz w:val="20"/>
          <w:szCs w:val="20"/>
        </w:rPr>
        <w:t xml:space="preserve">random_page_cost = 1.1          ; NVMe — favorise les index scans</w:t>
      </w:r>
    </w:p>
    <w:p>
      <w:pPr>
        <w:ind w:left="720"/>
        <w:jc w:val="both"/>
      </w:pPr>
      <w:r>
        <w:rPr>
          <w:rFonts w:ascii="Courier New" w:hAnsi="Courier New"/>
          <w:sz w:val="20"/>
          <w:szCs w:val="20"/>
        </w:rPr>
        <w:t xml:space="preserve">effective_io_concurrency = 200  ; parallélisme I/O NVMe</w:t>
      </w:r>
    </w:p>
    <w:p>
      <w:pPr>
        <w:jc w:val="both"/>
      </w:pPr>
    </w:p>
    <w:p>
      <w:pPr>
        <w:pStyle w:val="Titre3"/>
        <w:jc w:val="both"/>
      </w:pPr>
      <w:r>
        <w:t>PgBouncer — Pooler de connexions</w:t>
      </w:r>
    </w:p>
    <w:p>
      <w:pPr>
        <w:jc w:val="both"/>
      </w:pPr>
      <w:r>
        <w:t>PgBouncer est déployé en mode transaction pooling sur SRV-02. Il réduit le nombre de connexions réelles PostgreSQL de 200 (applicatif) à 40–50 connexions backend effectives, évitant la dégradation liée aux connexions nombreuses.</w:t>
      </w:r>
    </w:p>
    <w:p>
      <w:pPr>
        <w:jc w:val="both"/>
      </w:pPr>
    </w:p>
    <w:p>
      <w:pPr>
        <w:pStyle w:val="Titre3"/>
        <w:jc w:val="both"/>
      </w:pPr>
      <w:r>
        <w:t>Stratégie d’indexation</w:t>
      </w:r>
    </w:p>
    <w:p>
      <w:pPr>
        <w:pStyle w:val="Paragraphedeliste"/>
        <w:jc w:val="both"/>
      </w:pPr>
      <w:r>
        <w:t>Index composites sur (tenant_id, created_at) pour toutes les tables de transactions — requête de tableau de bord la plus fréquente.</w:t>
      </w:r>
    </w:p>
    <w:p>
      <w:pPr>
        <w:pStyle w:val="Paragraphedeliste"/>
        <w:jc w:val="both"/>
      </w:pPr>
      <w:r>
        <w:t>Index partiel sur sales WHERE status = ’pending’ pour les requêtes de synchronisation offline.</w:t>
      </w:r>
    </w:p>
    <w:p>
      <w:pPr>
        <w:pStyle w:val="Paragraphedeliste"/>
        <w:jc w:val="both"/>
      </w:pPr>
      <w:r>
        <w:t>Index GIN sur les colonnes JSONB (métadonnées produits V2) pour les recherches avancées.</w:t>
      </w:r>
    </w:p>
    <w:p>
      <w:pPr>
        <w:pStyle w:val="Paragraphedeliste"/>
        <w:jc w:val="both"/>
      </w:pPr>
      <w:r>
        <w:t>Partitionnement par range sur la table sales (partitions mensuelles) à activer dès 10 millions de lignes, soit environ 12 mois à 200 boutiques.</w:t>
      </w:r>
    </w:p>
    <w:p>
      <w:pPr>
        <w:jc w:val="both"/>
      </w:pPr>
    </w:p>
    <w:p>
      <w:pPr>
        <w:pStyle w:val="Titre2"/>
        <w:jc w:val="both"/>
      </w:pPr>
      <w:r>
        <w:t>2.4 Gestion des queues — Laravel Horizon (SRV-01)</w:t>
      </w:r>
    </w:p>
    <w:p>
      <w:pPr>
        <w:jc w:val="both"/>
      </w:pPr>
      <w:r>
        <w:t>Laravel Horizon tourne sur SRV-01 en background, utilisant Redis local comme backend. La colocalisation Horizon + Redis sur le même serveur réduit la latence de déqueue à moins de 1 ms. Deux superviseurs sont configurés :</w:t>
      </w:r>
    </w:p>
    <w:p>
      <w:pPr>
        <w:ind w:left="720"/>
        <w:jc w:val="both"/>
      </w:pPr>
      <w:r>
        <w:rPr>
          <w:rFonts w:ascii="Courier New" w:hAnsi="Courier New"/>
          <w:sz w:val="20"/>
          <w:szCs w:val="20"/>
        </w:rPr>
        <w:t xml:space="preserve">'production' =&gt; [</w:t>
      </w:r>
    </w:p>
    <w:p>
      <w:pPr>
        <w:ind w:left="720"/>
        <w:jc w:val="both"/>
      </w:pPr>
      <w:r>
        <w:rPr>
          <w:rFonts w:ascii="Courier New" w:hAnsi="Courier New"/>
          <w:sz w:val="20"/>
          <w:szCs w:val="20"/>
        </w:rPr>
        <w:t xml:space="preserve">  'supervisor-sync' =&gt; [</w:t>
      </w:r>
    </w:p>
    <w:p>
      <w:pPr>
        <w:ind w:left="720"/>
        <w:jc w:val="both"/>
      </w:pPr>
      <w:r>
        <w:rPr>
          <w:rFonts w:ascii="Courier New" w:hAnsi="Courier New"/>
          <w:sz w:val="20"/>
          <w:szCs w:val="20"/>
        </w:rPr>
        <w:t xml:space="preserve">    'queue'        =&gt; ['sync-offline', 'sync-critical'],</w:t>
      </w:r>
    </w:p>
    <w:p>
      <w:pPr>
        <w:ind w:left="720"/>
        <w:jc w:val="both"/>
      </w:pPr>
      <w:r>
        <w:rPr>
          <w:rFonts w:ascii="Courier New" w:hAnsi="Courier New"/>
          <w:sz w:val="20"/>
          <w:szCs w:val="20"/>
        </w:rPr>
        <w:t xml:space="preserve">    'maxProcesses' =&gt; 20,</w:t>
      </w:r>
    </w:p>
    <w:p>
      <w:pPr>
        <w:ind w:left="720"/>
        <w:jc w:val="both"/>
      </w:pPr>
      <w:r>
        <w:rPr>
          <w:rFonts w:ascii="Courier New" w:hAnsi="Courier New"/>
          <w:sz w:val="20"/>
          <w:szCs w:val="20"/>
        </w:rPr>
        <w:t xml:space="preserve">    'balance'      =&gt; 'auto',</w:t>
      </w:r>
    </w:p>
    <w:p>
      <w:pPr>
        <w:ind w:left="720"/>
        <w:jc w:val="both"/>
      </w:pPr>
      <w:r>
        <w:rPr>
          <w:rFonts w:ascii="Courier New" w:hAnsi="Courier New"/>
          <w:sz w:val="20"/>
          <w:szCs w:val="20"/>
        </w:rPr>
        <w:t xml:space="preserve">    'timeout'      =&gt; 300,</w:t>
      </w:r>
    </w:p>
    <w:p>
      <w:pPr>
        <w:ind w:left="720"/>
        <w:jc w:val="both"/>
      </w:pPr>
      <w:r>
        <w:rPr>
          <w:rFonts w:ascii="Courier New" w:hAnsi="Courier New"/>
          <w:sz w:val="20"/>
          <w:szCs w:val="20"/>
        </w:rPr>
        <w:t xml:space="preserve">    'tries'        =&gt; 3,</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'supervisor-reports' =&gt; [</w:t>
      </w:r>
    </w:p>
    <w:p>
      <w:pPr>
        <w:ind w:left="720"/>
        <w:jc w:val="both"/>
      </w:pPr>
      <w:r>
        <w:rPr>
          <w:rFonts w:ascii="Courier New" w:hAnsi="Courier New"/>
          <w:sz w:val="20"/>
          <w:szCs w:val="20"/>
        </w:rPr>
        <w:t xml:space="preserve">    'queue'        =&gt; ['reports', 'notifications'],</w:t>
      </w:r>
    </w:p>
    <w:p>
      <w:pPr>
        <w:ind w:left="720"/>
        <w:jc w:val="both"/>
      </w:pPr>
      <w:r>
        <w:rPr>
          <w:rFonts w:ascii="Courier New" w:hAnsi="Courier New"/>
          <w:sz w:val="20"/>
          <w:szCs w:val="20"/>
        </w:rPr>
        <w:t xml:space="preserve">    'maxProcesses' =&gt; 6,</w:t>
      </w:r>
    </w:p>
    <w:p>
      <w:pPr>
        <w:ind w:left="720"/>
        <w:jc w:val="both"/>
      </w:pPr>
      <w:r>
        <w:rPr>
          <w:rFonts w:ascii="Courier New" w:hAnsi="Courier New"/>
          <w:sz w:val="20"/>
          <w:szCs w:val="20"/>
        </w:rPr>
        <w:t xml:space="preserve">    'balance'      =&gt; 'simple',</w:t>
      </w:r>
    </w:p>
    <w:p>
      <w:pPr>
        <w:ind w:left="720"/>
        <w:jc w:val="both"/>
      </w:pPr>
      <w:r>
        <w:rPr>
          <w:rFonts w:ascii="Courier New" w:hAnsi="Courier New"/>
          <w:sz w:val="20"/>
          <w:szCs w:val="20"/>
        </w:rPr>
        <w:t xml:space="preserve">    'timeout'      =&gt; 600,</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w:t>
      </w:r>
    </w:p>
    <w:p>
      <w:pPr>
        <w:jc w:val="both"/>
      </w:pPr>
    </w:p>
    <w:p>
      <w:pPr>
        <w:jc w:val="both"/>
      </w:pPr>
      <w:r>
        <w:t>Les 20 workers sync-offline sont les plus nombreux car la synchronisation offline V1/V2 est la charge la plus imprévisible (rafales au retour de connexion depuis les appareils mobiles).</w:t>
      </w:r>
    </w:p>
    <w:p>
      <w:pPr>
        <w:jc w:val="both"/>
      </w:pPr>
    </w:p>
    <w:p>
      <w:pPr>
        <w:pStyle w:val="Titre2"/>
        <w:jc w:val="both"/>
      </w:pPr>
      <w:r>
        <w:t>2.5 Stratégie assets statiques / OTA</w:t>
      </w:r>
    </w:p>
    <w:p>
      <w:pPr>
        <w:pStyle w:val="Paragraphedeliste"/>
        <w:jc w:val="both"/>
      </w:pPr>
      <w:r>
        <w:rPr>
          <w:b/>
          <w:bCs/>
        </w:rPr>
        <w:t xml:space="preserve">Vue.js (frontend web) : </w:t>
      </w:r>
      <w:r>
        <w:t>build Vite avec hash de contenu servi depuis Nginx (SRV-01), Cache-Control: max-age=31536000. Un CDN externe (Cloudflare Free/Pro) peut être activé devant SRV-01 sans modification applicative dès la Phase B.</w:t>
      </w:r>
    </w:p>
    <w:p>
      <w:pPr>
        <w:pStyle w:val="Paragraphedeliste"/>
        <w:jc w:val="both"/>
      </w:pPr>
      <w:r>
        <w:rPr>
          <w:b/>
          <w:bCs/>
        </w:rPr>
        <w:t xml:space="preserve">React Native OTA : </w:t>
      </w:r>
      <w:r>
        <w:t>bundles JavaScript versionnés servis depuis Nginx/SRV-01. Migration vers un stockage objet (MinIO ou Scaleway Object Storage) en Phase B pour décharger SRV-01.</w:t>
      </w:r>
    </w:p>
    <w:p>
      <w:pPr>
        <w:pStyle w:val="Paragraphedeliste"/>
        <w:jc w:val="both"/>
      </w:pPr>
      <w:r>
        <w:rPr>
          <w:b/>
          <w:bCs/>
        </w:rPr>
        <w:t xml:space="preserve">Assets médias (images produits) : </w:t>
      </w:r>
      <w:r>
        <w:t>volume local sur SRV-01 en Phase A, migré vers stockage objet compatible S3 en Phase B.</w:t>
      </w:r>
    </w:p>
    <w:p>
      <w:pPr>
        <w:jc w:val="both"/>
      </w:pPr>
    </w:p>
    <w:p>
      <w:pPr>
        <w:pStyle w:val="Titre2"/>
        <w:jc w:val="both"/>
      </w:pPr>
      <w:r>
        <w:t>2.6 Sécurisation des API</w:t>
      </w:r>
    </w:p>
    <w:p>
      <w:pPr>
        <w:jc w:val="both"/>
      </w:pPr>
    </w:p>
    <w:p>
      <w:pPr>
        <w:pStyle w:val="Titre3"/>
        <w:jc w:val="both"/>
      </w:pPr>
      <w:r>
        <w:t>Authentification</w:t>
      </w:r>
    </w:p>
    <w:p>
      <w:pPr>
        <w:jc w:val="both"/>
      </w:pPr>
      <w:r>
        <w:t>Laravel Sanctum en mode API token pour les applications mobiles React Native (tokens longue durée, révocables par device) et JWT pour les sessions web Vue.js. Les tokens sont hachés en base (jamais stockés en clair).</w:t>
      </w:r>
    </w:p>
    <w:p>
      <w:pPr>
        <w:jc w:val="both"/>
      </w:pPr>
    </w:p>
    <w:p>
      <w:pPr>
        <w:pStyle w:val="Titre3"/>
        <w:jc w:val="both"/>
      </w:pPr>
      <w:r>
        <w:t>Rate Limiting</w:t>
      </w:r>
    </w:p>
    <w:p>
      <w:pPr>
        <w:pStyle w:val="Paragraphedeliste"/>
        <w:jc w:val="both"/>
      </w:pPr>
      <w:r>
        <w:rPr>
          <w:b/>
          <w:bCs/>
        </w:rPr>
        <w:t xml:space="preserve">Couche Nginx (SRV-01) : </w:t>
      </w:r>
      <w:r>
        <w:t>100 req/s par IP sur /api/ avec burst 200. Protection volumétrique avant d’atteindre PHP-FPM.</w:t>
      </w:r>
    </w:p>
    <w:p>
      <w:pPr>
        <w:pStyle w:val="Paragraphedeliste"/>
        <w:jc w:val="both"/>
      </w:pPr>
      <w:r>
        <w:rPr>
          <w:b/>
          <w:bCs/>
        </w:rPr>
        <w:t xml:space="preserve">Couche Laravel (ThrottleRequests) : </w:t>
      </w:r>
      <w:r>
        <w:t>60 req/min par token authentifié, 10 req/min sur les endpoints d’authentification (anti-brute-force).</w:t>
      </w:r>
    </w:p>
    <w:p>
      <w:pPr>
        <w:jc w:val="both"/>
      </w:pPr>
    </w:p>
    <w:p>
      <w:pPr>
        <w:pStyle w:val="Titre3"/>
        <w:jc w:val="both"/>
      </w:pPr>
      <w:r>
        <w:t>TLS / HTTPS</w:t>
      </w:r>
    </w:p>
    <w:p>
      <w:pPr>
        <w:jc w:val="both"/>
      </w:pPr>
      <w:r>
        <w:t>Terminaison TLS sur Nginx (SRV-01) avec certificats Let’s Encrypt renouvellés automatiquement (Certbot). TLS 1.2 minimum, TLS 1.3 préféré. HSTS activé (max-age=31536000). Communications SRV-01 → SRV-02 sur réseau privé dédié non exposé à Internet.</w:t>
      </w:r>
    </w:p>
    <w:p>
      <w:r>
        <w:br w:type="page"/>
      </w:r>
    </w:p>
    <w:p>
      <w:pPr>
        <w:pStyle w:val="Titre1"/>
        <w:jc w:val="both"/>
      </w:pPr>
      <w:r>
        <w:t>3. MONITORING — ZABBIX</w:t>
      </w:r>
    </w:p>
    <w:p>
      <w:pPr>
        <w:jc w:val="both"/>
      </w:pPr>
    </w:p>
    <w:p>
      <w:pPr>
        <w:pStyle w:val="Titre2"/>
        <w:jc w:val="both"/>
      </w:pPr>
      <w:r>
        <w:t>3.1 Métriques clés et seuils d’alerte</w:t>
      </w:r>
    </w:p>
    <w:p>
      <w:pPr>
        <w:jc w:val="both"/>
      </w:pPr>
      <w:r>
        <w:t>Zabbix Server est déployé sur SRV-03, avec des agents Zabbix actifs sur SRV-01 et SRV-02. Les alertes sont routées par sévérité : email pour WARNING, SMS/webhook pour CRITICAL.</w:t>
      </w:r>
    </w:p>
    <w:p>
      <w:pPr>
        <w:jc w:val="both"/>
      </w:pPr>
      <w:r>
        <w:t>Note : la ligne de monitoring du lag de réplication PostgreSQL (SRV-02) est incluse dès le départ pour préparer la Phase B sans reconfiguration Zabbix.</w:t>
      </w:r>
    </w:p>
    <w:p>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tr>
        <w:trPr>
          <w:tblHeader/>
        </w:trPr>
        <w:tc>
          <w:tcPr>
            <w:tcW w:w="1560" w:type="dxa"/>
          </w:tcPr>
          <w:p>
            <w:pPr>
              <w:jc w:val="both"/>
            </w:pPr>
            <w:r>
              <w:rPr>
                <w:b/>
                <w:bCs/>
              </w:rPr>
              <w:t>Serveur</w:t>
            </w:r>
          </w:p>
        </w:tc>
        <w:tc>
          <w:tcPr>
            <w:tcW w:w="2800" w:type="dxa"/>
          </w:tcPr>
          <w:p>
            <w:pPr>
              <w:jc w:val="both"/>
            </w:pPr>
            <w:r>
              <w:rPr>
                <w:b/>
                <w:bCs/>
              </w:rPr>
              <w:t xml:space="preserve">Métrique surveillée</w:t>
            </w:r>
          </w:p>
        </w:tc>
        <w:tc>
          <w:tcPr>
            <w:tcW w:w="2639" w:type="dxa"/>
          </w:tcPr>
          <w:p>
            <w:pPr>
              <w:jc w:val="both"/>
            </w:pPr>
            <w:r>
              <w:rPr>
                <w:b/>
                <w:bCs/>
              </w:rPr>
              <w:t xml:space="preserve">Seuil WARNING</w:t>
            </w:r>
          </w:p>
        </w:tc>
        <w:tc>
          <w:tcPr>
            <w:tcW w:w="2639" w:type="dxa"/>
          </w:tcPr>
          <w:p>
            <w:pPr>
              <w:jc w:val="both"/>
            </w:pPr>
            <w:r>
              <w:rPr>
                <w:b/>
                <w:bCs/>
              </w:rPr>
              <w:t xml:space="preserve">Seuil CRITICAL</w:t>
            </w:r>
          </w:p>
        </w:tc>
      </w:tr>
      <w:tr>
        <w:tc>
          <w:tcPr>
            <w:tcW w:w="1560" w:type="dxa"/>
          </w:tcPr>
          <w:p>
            <w:pPr>
              <w:jc w:val="both"/>
            </w:pPr>
            <w:r>
              <w:rPr>
                <w:b/>
                <w:bCs/>
              </w:rPr>
              <w:t>Tous</w:t>
            </w:r>
          </w:p>
        </w:tc>
        <w:tc>
          <w:tcPr>
            <w:tcW w:w="2800" w:type="dxa"/>
          </w:tcPr>
          <w:p>
            <w:pPr>
              <w:jc w:val="both"/>
            </w:pPr>
            <w:r>
              <w:t xml:space="preserve">CPU usage</w:t>
            </w:r>
          </w:p>
        </w:tc>
        <w:tc>
          <w:tcPr>
            <w:tcW w:w="2639" w:type="dxa"/>
          </w:tcPr>
          <w:p>
            <w:pPr>
              <w:jc w:val="both"/>
            </w:pPr>
            <w:r>
              <w:t xml:space="preserve">&amp;gt; 70 % sur 5 min</w:t>
            </w:r>
          </w:p>
        </w:tc>
        <w:tc>
          <w:tcPr>
            <w:tcW w:w="2639" w:type="dxa"/>
          </w:tcPr>
          <w:p>
            <w:pPr>
              <w:jc w:val="both"/>
            </w:pPr>
            <w:r>
              <w:t xml:space="preserve">&amp;gt; 90 % sur 2 min</w:t>
            </w:r>
          </w:p>
        </w:tc>
      </w:tr>
      <w:tr>
        <w:tc>
          <w:tcPr>
            <w:tcW w:w="1560" w:type="dxa"/>
          </w:tcPr>
          <w:p>
            <w:pPr>
              <w:jc w:val="both"/>
            </w:pPr>
            <w:r>
              <w:rPr>
                <w:b/>
                <w:bCs/>
              </w:rPr>
              <w:t>Tous</w:t>
            </w:r>
          </w:p>
        </w:tc>
        <w:tc>
          <w:tcPr>
            <w:tcW w:w="2800" w:type="dxa"/>
          </w:tcPr>
          <w:p>
            <w:pPr>
              <w:jc w:val="both"/>
            </w:pPr>
            <w:r>
              <w:t xml:space="preserve">RAM utilisée</w:t>
            </w:r>
          </w:p>
        </w:tc>
        <w:tc>
          <w:tcPr>
            <w:tcW w:w="2639" w:type="dxa"/>
          </w:tcPr>
          <w:p>
            <w:pPr>
              <w:jc w:val="both"/>
            </w:pPr>
            <w:r>
              <w:t xml:space="preserve">&amp;gt; 80 %</w:t>
            </w:r>
          </w:p>
        </w:tc>
        <w:tc>
          <w:tcPr>
            <w:tcW w:w="2639" w:type="dxa"/>
          </w:tcPr>
          <w:p>
            <w:pPr>
              <w:jc w:val="both"/>
            </w:pPr>
            <w:r>
              <w:t xml:space="preserve">&amp;gt; 95 %</w:t>
            </w:r>
          </w:p>
        </w:tc>
      </w:tr>
      <w:tr>
        <w:tc>
          <w:tcPr>
            <w:tcW w:w="1560" w:type="dxa"/>
          </w:tcPr>
          <w:p>
            <w:pPr>
              <w:jc w:val="both"/>
            </w:pPr>
            <w:r>
              <w:rPr>
                <w:b/>
                <w:bCs/>
              </w:rPr>
              <w:t>Tous</w:t>
            </w:r>
          </w:p>
        </w:tc>
        <w:tc>
          <w:tcPr>
            <w:tcW w:w="2800" w:type="dxa"/>
          </w:tcPr>
          <w:p>
            <w:pPr>
              <w:jc w:val="both"/>
            </w:pPr>
            <w:r>
              <w:t xml:space="preserve">Espace disque</w:t>
            </w:r>
          </w:p>
        </w:tc>
        <w:tc>
          <w:tcPr>
            <w:tcW w:w="2639" w:type="dxa"/>
          </w:tcPr>
          <w:p>
            <w:pPr>
              <w:jc w:val="both"/>
            </w:pPr>
            <w:r>
              <w:t xml:space="preserve">&amp;gt; 75 %</w:t>
            </w:r>
          </w:p>
        </w:tc>
        <w:tc>
          <w:tcPr>
            <w:tcW w:w="2639" w:type="dxa"/>
          </w:tcPr>
          <w:p>
            <w:pPr>
              <w:jc w:val="both"/>
            </w:pPr>
            <w:r>
              <w:t xml:space="preserve">&amp;gt; 90 %</w:t>
            </w:r>
          </w:p>
        </w:tc>
      </w:tr>
      <w:tr>
        <w:tc>
          <w:tcPr>
            <w:tcW w:w="1560" w:type="dxa"/>
          </w:tcPr>
          <w:p>
            <w:pPr>
              <w:jc w:val="both"/>
            </w:pPr>
            <w:r>
              <w:rPr>
                <w:b/>
                <w:bCs/>
              </w:rPr>
              <w:t>SRV-01</w:t>
            </w:r>
          </w:p>
        </w:tc>
        <w:tc>
          <w:tcPr>
            <w:tcW w:w="2800" w:type="dxa"/>
          </w:tcPr>
          <w:p>
            <w:pPr>
              <w:jc w:val="both"/>
            </w:pPr>
            <w:r>
              <w:t xml:space="preserve">Latence réponse HTTP (P95)</w:t>
            </w:r>
          </w:p>
        </w:tc>
        <w:tc>
          <w:tcPr>
            <w:tcW w:w="2639" w:type="dxa"/>
          </w:tcPr>
          <w:p>
            <w:pPr>
              <w:jc w:val="both"/>
            </w:pPr>
            <w:r>
              <w:t xml:space="preserve">&amp;gt; 500 ms</w:t>
            </w:r>
          </w:p>
        </w:tc>
        <w:tc>
          <w:tcPr>
            <w:tcW w:w="2639" w:type="dxa"/>
          </w:tcPr>
          <w:p>
            <w:pPr>
              <w:jc w:val="both"/>
            </w:pPr>
            <w:r>
              <w:t xml:space="preserve">&amp;gt; 2 000 ms</w:t>
            </w:r>
          </w:p>
        </w:tc>
      </w:tr>
      <w:tr>
        <w:tc>
          <w:tcPr>
            <w:tcW w:w="1560" w:type="dxa"/>
          </w:tcPr>
          <w:p>
            <w:pPr>
              <w:jc w:val="both"/>
            </w:pPr>
            <w:r>
              <w:rPr>
                <w:b/>
                <w:bCs/>
              </w:rPr>
              <w:t>SRV-01</w:t>
            </w:r>
          </w:p>
        </w:tc>
        <w:tc>
          <w:tcPr>
            <w:tcW w:w="2800" w:type="dxa"/>
          </w:tcPr>
          <w:p>
            <w:pPr>
              <w:jc w:val="both"/>
            </w:pPr>
            <w:r>
              <w:t xml:space="preserve">Workers PHP-FPM actifs / max</w:t>
            </w:r>
          </w:p>
        </w:tc>
        <w:tc>
          <w:tcPr>
            <w:tcW w:w="2639" w:type="dxa"/>
          </w:tcPr>
          <w:p>
            <w:pPr>
              <w:jc w:val="both"/>
            </w:pPr>
            <w:r>
              <w:t xml:space="preserve">&amp;gt; 75 %</w:t>
            </w:r>
          </w:p>
        </w:tc>
        <w:tc>
          <w:tcPr>
            <w:tcW w:w="2639" w:type="dxa"/>
          </w:tcPr>
          <w:p>
            <w:pPr>
              <w:jc w:val="both"/>
            </w:pPr>
            <w:r>
              <w:t xml:space="preserve">&amp;gt; 95 %</w:t>
            </w:r>
          </w:p>
        </w:tc>
      </w:tr>
      <w:tr>
        <w:tc>
          <w:tcPr>
            <w:tcW w:w="1560" w:type="dxa"/>
          </w:tcPr>
          <w:p>
            <w:pPr>
              <w:jc w:val="both"/>
            </w:pPr>
            <w:r>
              <w:rPr>
                <w:b/>
                <w:bCs/>
              </w:rPr>
              <w:t>SRV-01</w:t>
            </w:r>
          </w:p>
        </w:tc>
        <w:tc>
          <w:tcPr>
            <w:tcW w:w="2800" w:type="dxa"/>
          </w:tcPr>
          <w:p>
            <w:pPr>
              <w:jc w:val="both"/>
            </w:pPr>
            <w:r>
              <w:t xml:space="preserve">Taux d’erreur API (5xx)</w:t>
            </w:r>
          </w:p>
        </w:tc>
        <w:tc>
          <w:tcPr>
            <w:tcW w:w="2639" w:type="dxa"/>
          </w:tcPr>
          <w:p>
            <w:pPr>
              <w:jc w:val="both"/>
            </w:pPr>
            <w:r>
              <w:t xml:space="preserve">&amp;gt; 1 %</w:t>
            </w:r>
          </w:p>
        </w:tc>
        <w:tc>
          <w:tcPr>
            <w:tcW w:w="2639" w:type="dxa"/>
          </w:tcPr>
          <w:p>
            <w:pPr>
              <w:jc w:val="both"/>
            </w:pPr>
            <w:r>
              <w:t xml:space="preserve">&amp;gt; 5 %</w:t>
            </w:r>
          </w:p>
        </w:tc>
      </w:tr>
      <w:tr>
        <w:tc>
          <w:tcPr>
            <w:tcW w:w="1560" w:type="dxa"/>
          </w:tcPr>
          <w:p>
            <w:pPr>
              <w:jc w:val="both"/>
            </w:pPr>
            <w:r>
              <w:rPr>
                <w:b/>
                <w:bCs/>
              </w:rPr>
              <w:t>SRV-01</w:t>
            </w:r>
          </w:p>
        </w:tc>
        <w:tc>
          <w:tcPr>
            <w:tcW w:w="2800" w:type="dxa"/>
          </w:tcPr>
          <w:p>
            <w:pPr>
              <w:jc w:val="both"/>
            </w:pPr>
            <w:r>
              <w:t xml:space="preserve">Jobs Horizon en attente (queue)</w:t>
            </w:r>
          </w:p>
        </w:tc>
        <w:tc>
          <w:tcPr>
            <w:tcW w:w="2639" w:type="dxa"/>
          </w:tcPr>
          <w:p>
            <w:pPr>
              <w:jc w:val="both"/>
            </w:pPr>
            <w:r>
              <w:t xml:space="preserve">&amp;gt; 500 jobs</w:t>
            </w:r>
          </w:p>
        </w:tc>
        <w:tc>
          <w:tcPr>
            <w:tcW w:w="2639" w:type="dxa"/>
          </w:tcPr>
          <w:p>
            <w:pPr>
              <w:jc w:val="both"/>
            </w:pPr>
            <w:r>
              <w:t xml:space="preserve">&amp;gt; 2 000 jobs</w:t>
            </w:r>
          </w:p>
        </w:tc>
      </w:tr>
      <w:tr>
        <w:tc>
          <w:tcPr>
            <w:tcW w:w="1560" w:type="dxa"/>
          </w:tcPr>
          <w:p>
            <w:pPr>
              <w:jc w:val="both"/>
            </w:pPr>
            <w:r>
              <w:rPr>
                <w:b/>
                <w:bCs/>
              </w:rPr>
              <w:t>SRV-01</w:t>
            </w:r>
          </w:p>
        </w:tc>
        <w:tc>
          <w:tcPr>
            <w:tcW w:w="2800" w:type="dxa"/>
          </w:tcPr>
          <w:p>
            <w:pPr>
              <w:jc w:val="both"/>
            </w:pPr>
            <w:r>
              <w:t xml:space="preserve">Mémoire Redis utilisée</w:t>
            </w:r>
          </w:p>
        </w:tc>
        <w:tc>
          <w:tcPr>
            <w:tcW w:w="2639" w:type="dxa"/>
          </w:tcPr>
          <w:p>
            <w:pPr>
              <w:jc w:val="both"/>
            </w:pPr>
            <w:r>
              <w:t xml:space="preserve">&amp;gt; 80 % maxmemory</w:t>
            </w:r>
          </w:p>
        </w:tc>
        <w:tc>
          <w:tcPr>
            <w:tcW w:w="2639" w:type="dxa"/>
          </w:tcPr>
          <w:p>
            <w:pPr>
              <w:jc w:val="both"/>
            </w:pPr>
            <w:r>
              <w:t xml:space="preserve">&amp;gt; 95 % maxmemory</w:t>
            </w:r>
          </w:p>
        </w:tc>
      </w:tr>
      <w:tr>
        <w:tc>
          <w:tcPr>
            <w:tcW w:w="1560" w:type="dxa"/>
          </w:tcPr>
          <w:p>
            <w:pPr>
              <w:jc w:val="both"/>
            </w:pPr>
            <w:r>
              <w:rPr>
                <w:b/>
                <w:bCs/>
              </w:rPr>
              <w:t>SRV-02</w:t>
            </w:r>
          </w:p>
        </w:tc>
        <w:tc>
          <w:tcPr>
            <w:tcW w:w="2800" w:type="dxa"/>
          </w:tcPr>
          <w:p>
            <w:pPr>
              <w:jc w:val="both"/>
            </w:pPr>
            <w:r>
              <w:t xml:space="preserve">Connexions PostgreSQL actives</w:t>
            </w:r>
          </w:p>
        </w:tc>
        <w:tc>
          <w:tcPr>
            <w:tcW w:w="2639" w:type="dxa"/>
          </w:tcPr>
          <w:p>
            <w:pPr>
              <w:jc w:val="both"/>
            </w:pPr>
            <w:r>
              <w:t xml:space="preserve">&amp;gt; 80 % du pool</w:t>
            </w:r>
          </w:p>
        </w:tc>
        <w:tc>
          <w:tcPr>
            <w:tcW w:w="2639" w:type="dxa"/>
          </w:tcPr>
          <w:p>
            <w:pPr>
              <w:jc w:val="both"/>
            </w:pPr>
            <w:r>
              <w:t xml:space="preserve">&amp;gt; 95 % du pool</w:t>
            </w:r>
          </w:p>
        </w:tc>
      </w:tr>
      <w:tr>
        <w:tc>
          <w:tcPr>
            <w:tcW w:w="1560" w:type="dxa"/>
          </w:tcPr>
          <w:p>
            <w:pPr>
              <w:jc w:val="both"/>
            </w:pPr>
            <w:r>
              <w:rPr>
                <w:b/>
                <w:bCs/>
              </w:rPr>
              <w:t>SRV-02</w:t>
            </w:r>
          </w:p>
        </w:tc>
        <w:tc>
          <w:tcPr>
            <w:tcW w:w="2800" w:type="dxa"/>
          </w:tcPr>
          <w:p>
            <w:pPr>
              <w:jc w:val="both"/>
            </w:pPr>
            <w:r>
              <w:t xml:space="preserve">Requêtes lentes PostgreSQL (&amp;gt; 1 s)</w:t>
            </w:r>
          </w:p>
        </w:tc>
        <w:tc>
          <w:tcPr>
            <w:tcW w:w="2639" w:type="dxa"/>
          </w:tcPr>
          <w:p>
            <w:pPr>
              <w:jc w:val="both"/>
            </w:pPr>
            <w:r>
              <w:t xml:space="preserve">&amp;gt; 10 / min</w:t>
            </w:r>
          </w:p>
        </w:tc>
        <w:tc>
          <w:tcPr>
            <w:tcW w:w="2639" w:type="dxa"/>
          </w:tcPr>
          <w:p>
            <w:pPr>
              <w:jc w:val="both"/>
            </w:pPr>
            <w:r>
              <w:t xml:space="preserve">&amp;gt; 50 / min</w:t>
            </w:r>
          </w:p>
        </w:tc>
      </w:tr>
      <w:tr>
        <w:tc>
          <w:tcPr>
            <w:tcW w:w="1560" w:type="dxa"/>
          </w:tcPr>
          <w:p>
            <w:pPr>
              <w:jc w:val="both"/>
            </w:pPr>
            <w:r>
              <w:rPr>
                <w:b/>
                <w:bCs/>
              </w:rPr>
              <w:t>SRV-02</w:t>
            </w:r>
          </w:p>
        </w:tc>
        <w:tc>
          <w:tcPr>
            <w:tcW w:w="2800" w:type="dxa"/>
          </w:tcPr>
          <w:p>
            <w:pPr>
              <w:jc w:val="both"/>
            </w:pPr>
            <w:r>
              <w:t xml:space="preserve">Lag réplication (Phase B+)</w:t>
            </w:r>
          </w:p>
        </w:tc>
        <w:tc>
          <w:tcPr>
            <w:tcW w:w="2639" w:type="dxa"/>
          </w:tcPr>
          <w:p>
            <w:pPr>
              <w:jc w:val="both"/>
            </w:pPr>
            <w:r>
              <w:t xml:space="preserve">&amp;gt; 5 s</w:t>
            </w:r>
          </w:p>
        </w:tc>
        <w:tc>
          <w:tcPr>
            <w:tcW w:w="2639" w:type="dxa"/>
          </w:tcPr>
          <w:p>
            <w:pPr>
              <w:jc w:val="both"/>
            </w:pPr>
            <w:r>
              <w:t xml:space="preserve">&amp;gt; 30 s</w:t>
            </w:r>
          </w:p>
        </w:tc>
      </w:tr>
      <w:tr>
        <w:tc>
          <w:tcPr>
            <w:tcW w:w="1560" w:type="dxa"/>
          </w:tcPr>
          <w:p>
            <w:pPr>
              <w:jc w:val="both"/>
            </w:pPr>
            <w:r>
              <w:rPr>
                <w:b/>
                <w:bCs/>
              </w:rPr>
              <w:t>SRV-03</w:t>
            </w:r>
          </w:p>
        </w:tc>
        <w:tc>
          <w:tcPr>
            <w:tcW w:w="2800" w:type="dxa"/>
          </w:tcPr>
          <w:p>
            <w:pPr>
              <w:jc w:val="both"/>
            </w:pPr>
            <w:r>
              <w:t xml:space="preserve">Âge dernière sauvegarde PG</w:t>
            </w:r>
          </w:p>
        </w:tc>
        <w:tc>
          <w:tcPr>
            <w:tcW w:w="2639" w:type="dxa"/>
          </w:tcPr>
          <w:p>
            <w:pPr>
              <w:jc w:val="both"/>
            </w:pPr>
            <w:r>
              <w:t xml:space="preserve">&amp;gt; 13 h</w:t>
            </w:r>
          </w:p>
        </w:tc>
        <w:tc>
          <w:tcPr>
            <w:tcW w:w="2639" w:type="dxa"/>
          </w:tcPr>
          <w:p>
            <w:pPr>
              <w:jc w:val="both"/>
            </w:pPr>
            <w:r>
              <w:t xml:space="preserve">&amp;gt; 25 h</w:t>
            </w:r>
          </w:p>
        </w:tc>
      </w:tr>
      <w:tr>
        <w:tc>
          <w:tcPr>
            <w:tcW w:w="1560" w:type="dxa"/>
          </w:tcPr>
          <w:p>
            <w:pPr>
              <w:jc w:val="both"/>
            </w:pPr>
            <w:r>
              <w:rPr>
                <w:b/>
                <w:bCs/>
              </w:rPr>
              <w:t>SRV-03</w:t>
            </w:r>
          </w:p>
        </w:tc>
        <w:tc>
          <w:tcPr>
            <w:tcW w:w="2800" w:type="dxa"/>
          </w:tcPr>
          <w:p>
            <w:pPr>
              <w:jc w:val="both"/>
            </w:pPr>
            <w:r>
              <w:t xml:space="preserve">Certificats TLS (expiration)</w:t>
            </w:r>
          </w:p>
        </w:tc>
        <w:tc>
          <w:tcPr>
            <w:tcW w:w="2639" w:type="dxa"/>
          </w:tcPr>
          <w:p>
            <w:pPr>
              <w:jc w:val="both"/>
            </w:pPr>
            <w:r>
              <w:t xml:space="preserve">&amp;lt; 30 jours</w:t>
            </w:r>
          </w:p>
        </w:tc>
        <w:tc>
          <w:tcPr>
            <w:tcW w:w="2639" w:type="dxa"/>
          </w:tcPr>
          <w:p>
            <w:pPr>
              <w:jc w:val="both"/>
            </w:pPr>
            <w:r>
              <w:t xml:space="preserve">&amp;lt; 7 jours</w:t>
            </w:r>
          </w:p>
        </w:tc>
      </w:tr>
    </w:tbl>
    <w:p>
      <w:pPr>
        <w:jc w:val="both"/>
      </w:pPr>
    </w:p>
    <w:p>
      <w:pPr>
        <w:pStyle w:val="Titre2"/>
        <w:jc w:val="both"/>
      </w:pPr>
      <w:r>
        <w:t>3.2 Alertes métier complémentaires</w:t>
      </w:r>
    </w:p>
    <w:p>
      <w:pPr>
        <w:pStyle w:val="Paragraphedeliste"/>
        <w:jc w:val="both"/>
      </w:pPr>
      <w:r>
        <w:t>Taux de succès synchronisation offline V1/V2 : alerte si moins de 95 % des jobs Horizon terminés avec succès sur une fenêtre glissante de 15 minutes.</w:t>
      </w:r>
    </w:p>
    <w:p>
      <w:pPr>
        <w:pStyle w:val="Paragraphedeliste"/>
        <w:jc w:val="both"/>
      </w:pPr>
      <w:r>
        <w:t>Endpoint /api/health : sonde HTTP toutes les 60 secondes depuis SRV-03 — alerte immédiate si réponse != HTTP 200.</w:t>
      </w:r>
    </w:p>
    <w:p>
      <w:pPr>
        <w:pStyle w:val="Paragraphedeliste"/>
        <w:jc w:val="both"/>
      </w:pPr>
      <w:r>
        <w:t>Saturation SRV-01 combinée : alerte spécifique si CPU &amp;gt; 70 % ET jobs Horizon &amp;gt; 300 simultanément — signal d’isolation Redis/Horizon à planifier.</w:t>
      </w:r>
    </w:p>
    <w:p>
      <w:pPr>
        <w:pStyle w:val="Paragraphedeliste"/>
        <w:jc w:val="both"/>
      </w:pPr>
      <w:r>
        <w:t>Sauvegardes PostgreSQL : alerte CRITICAL si aucune sauvegarde réussie depuis plus de 25 heures.</w:t>
      </w:r>
    </w:p>
    <w:p>
      <w:r>
        <w:br w:type="page"/>
      </w:r>
    </w:p>
    <w:p>
      <w:pPr>
        <w:pStyle w:val="Titre1"/>
        <w:jc w:val="both"/>
      </w:pPr>
      <w:r>
        <w:t>4. ROADMAP HAUTE DISPONIBILITÉ</w:t>
      </w:r>
    </w:p>
    <w:p>
      <w:pPr>
        <w:jc w:val="both"/>
      </w:pPr>
    </w:p>
    <w:p>
      <w:pPr>
        <w:jc w:val="both"/>
      </w:pPr>
      <w:r>
        <w:t>L’architecture évolue en 3 phases progressives. Chaque transition est déclenchée par des indicateurs objectifs mesurables via Zabbix, non par un calendrier fixe.</w:t>
      </w:r>
    </w:p>
    <w:p>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tr>
        <w:trPr>
          <w:tblHeader/>
        </w:trPr>
        <w:tc>
          <w:tcPr>
            <w:tcW w:w="1600" w:type="dxa"/>
          </w:tcPr>
          <w:p>
            <w:pPr>
              <w:jc w:val="both"/>
            </w:pPr>
            <w:r>
              <w:rPr>
                <w:b/>
                <w:bCs/>
              </w:rPr>
              <w:t>Phase</w:t>
            </w:r>
          </w:p>
        </w:tc>
        <w:tc>
          <w:tcPr>
            <w:tcW w:w="2200" w:type="dxa"/>
          </w:tcPr>
          <w:p>
            <w:pPr>
              <w:jc w:val="both"/>
            </w:pPr>
            <w:r>
              <w:rPr>
                <w:b/>
                <w:bCs/>
              </w:rPr>
              <w:t xml:space="preserve">Serveurs actifs</w:t>
            </w:r>
          </w:p>
        </w:tc>
        <w:tc>
          <w:tcPr>
            <w:tcW w:w="2500" w:type="dxa"/>
          </w:tcPr>
          <w:p>
            <w:pPr>
              <w:jc w:val="both"/>
            </w:pPr>
            <w:r>
              <w:rPr>
                <w:b/>
                <w:bCs/>
              </w:rPr>
              <w:t xml:space="preserve">Technologies ajoutées</w:t>
            </w:r>
          </w:p>
        </w:tc>
        <w:tc>
          <w:tcPr>
            <w:tcW w:w="1838" w:type="dxa"/>
          </w:tcPr>
          <w:p>
            <w:pPr>
              <w:jc w:val="both"/>
            </w:pPr>
            <w:r>
              <w:rPr>
                <w:b/>
                <w:bCs/>
              </w:rPr>
              <w:t>Déclencheur</w:t>
            </w:r>
          </w:p>
        </w:tc>
        <w:tc>
          <w:tcPr>
            <w:tcW w:w="1500" w:type="dxa"/>
          </w:tcPr>
          <w:p>
            <w:pPr>
              <w:jc w:val="both"/>
            </w:pPr>
            <w:r>
              <w:rPr>
                <w:b/>
                <w:bCs/>
              </w:rPr>
              <w:t xml:space="preserve">SLA cible</w:t>
            </w:r>
          </w:p>
        </w:tc>
      </w:tr>
      <w:tr>
        <w:tc>
          <w:tcPr>
            <w:tcW w:w="1600" w:type="dxa"/>
          </w:tcPr>
          <w:p>
            <w:pPr>
              <w:jc w:val="both"/>
            </w:pPr>
            <w:r>
              <w:rPr>
                <w:b/>
                <w:bCs/>
              </w:rPr>
              <w:t xml:space="preserve">A — Lancement (J0)</w:t>
            </w:r>
          </w:p>
        </w:tc>
        <w:tc>
          <w:tcPr>
            <w:tcW w:w="2200" w:type="dxa"/>
          </w:tcPr>
          <w:p>
            <w:pPr>
              <w:jc w:val="both"/>
            </w:pPr>
            <w:r>
              <w:t xml:space="preserve">3 serveurs (SRV-01, SRV-02, SRV-03)</w:t>
            </w:r>
          </w:p>
        </w:tc>
        <w:tc>
          <w:tcPr>
            <w:tcW w:w="2500" w:type="dxa"/>
          </w:tcPr>
          <w:p>
            <w:pPr>
              <w:jc w:val="both"/>
            </w:pPr>
            <w:r>
              <w:t xml:space="preserve">Nginx, PHP-FPM, Redis, Horizon, PostgreSQL 16, PgBouncer, Zabbix</w:t>
            </w:r>
          </w:p>
        </w:tc>
        <w:tc>
          <w:tcPr>
            <w:tcW w:w="1838" w:type="dxa"/>
          </w:tcPr>
          <w:p>
            <w:pPr>
              <w:jc w:val="both"/>
            </w:pPr>
            <w:r>
              <w:t xml:space="preserve">Démarrage (&amp;lt; 50 boutiques)</w:t>
            </w:r>
          </w:p>
        </w:tc>
        <w:tc>
          <w:tcPr>
            <w:tcW w:w="1500" w:type="dxa"/>
          </w:tcPr>
          <w:p>
            <w:pPr>
              <w:jc w:val="both"/>
            </w:pPr>
            <w:r>
              <w:t xml:space="preserve">99,0 % (~87 h/an)</w:t>
            </w:r>
          </w:p>
        </w:tc>
      </w:tr>
      <w:tr>
        <w:tc>
          <w:tcPr>
            <w:tcW w:w="1600" w:type="dxa"/>
          </w:tcPr>
          <w:p>
            <w:pPr>
              <w:jc w:val="both"/>
            </w:pPr>
            <w:r>
              <w:rPr>
                <w:b/>
                <w:bCs/>
              </w:rPr>
              <w:t xml:space="preserve">B — Croissance</w:t>
            </w:r>
          </w:p>
        </w:tc>
        <w:tc>
          <w:tcPr>
            <w:tcW w:w="2200" w:type="dxa"/>
          </w:tcPr>
          <w:p>
            <w:pPr>
              <w:jc w:val="both"/>
            </w:pPr>
            <w:r>
              <w:t xml:space="preserve">+2 à +3 serveurs (isolation Redis/Horizon, Load Balancer, réplica BDD)</w:t>
            </w:r>
          </w:p>
        </w:tc>
        <w:tc>
          <w:tcPr>
            <w:tcW w:w="2500" w:type="dxa"/>
          </w:tcPr>
          <w:p>
            <w:pPr>
              <w:jc w:val="both"/>
            </w:pPr>
            <w:r>
              <w:t xml:space="preserve">HAProxy LB, PostgreSQL Streaming Replication, Redis Sentinel, MinIO object store</w:t>
            </w:r>
          </w:p>
        </w:tc>
        <w:tc>
          <w:tcPr>
            <w:tcW w:w="1838" w:type="dxa"/>
          </w:tcPr>
          <w:p>
            <w:pPr>
              <w:jc w:val="both"/>
            </w:pPr>
            <w:r>
              <w:t xml:space="preserve">50–300 boutiques ou CPU SRV-01 &amp;gt; 70 % en continu</w:t>
            </w:r>
          </w:p>
        </w:tc>
        <w:tc>
          <w:tcPr>
            <w:tcW w:w="1500" w:type="dxa"/>
          </w:tcPr>
          <w:p>
            <w:pPr>
              <w:jc w:val="both"/>
            </w:pPr>
            <w:r>
              <w:t xml:space="preserve">99,5 % (~43 h/an)</w:t>
            </w:r>
          </w:p>
        </w:tc>
      </w:tr>
      <w:tr>
        <w:tc>
          <w:tcPr>
            <w:tcW w:w="1600" w:type="dxa"/>
          </w:tcPr>
          <w:p>
            <w:pPr>
              <w:jc w:val="both"/>
            </w:pPr>
            <w:r>
              <w:rPr>
                <w:b/>
                <w:bCs/>
              </w:rPr>
              <w:t xml:space="preserve">C — HA complète</w:t>
            </w:r>
          </w:p>
        </w:tc>
        <w:tc>
          <w:tcPr>
            <w:tcW w:w="2200" w:type="dxa"/>
          </w:tcPr>
          <w:p>
            <w:pPr>
              <w:jc w:val="both"/>
            </w:pPr>
            <w:r>
              <w:t xml:space="preserve">+3 à +6 serveurs (cluster BDD, Redis Cluster, app nodes multiples)</w:t>
            </w:r>
          </w:p>
        </w:tc>
        <w:tc>
          <w:tcPr>
            <w:tcW w:w="2500" w:type="dxa"/>
          </w:tcPr>
          <w:p>
            <w:pPr>
              <w:jc w:val="both"/>
            </w:pPr>
            <w:r>
              <w:t xml:space="preserve">Patroni (failover PG auto), Redis Cluster, Keepalived VIP, CI/CD blue-green, CDN actif</w:t>
            </w:r>
          </w:p>
        </w:tc>
        <w:tc>
          <w:tcPr>
            <w:tcW w:w="1838" w:type="dxa"/>
          </w:tcPr>
          <w:p>
            <w:pPr>
              <w:jc w:val="both"/>
            </w:pPr>
            <w:r>
              <w:t xml:space="preserve">300+ boutiques ou SLA contractuel &amp;gt;= 99,9 %</w:t>
            </w:r>
          </w:p>
        </w:tc>
        <w:tc>
          <w:tcPr>
            <w:tcW w:w="1500" w:type="dxa"/>
          </w:tcPr>
          <w:p>
            <w:pPr>
              <w:jc w:val="both"/>
            </w:pPr>
            <w:r>
              <w:t xml:space="preserve">99,9 % (~8,7 h/an)</w:t>
            </w:r>
          </w:p>
        </w:tc>
      </w:tr>
    </w:tbl>
    <w:p>
      <w:pPr>
        <w:jc w:val="both"/>
      </w:pPr>
    </w:p>
    <w:p>
      <w:pPr>
        <w:pStyle w:val="Titre2"/>
        <w:jc w:val="both"/>
      </w:pPr>
      <w:r>
        <w:t>4.1 Phase A — Architecture initiale (J0)</w:t>
      </w:r>
    </w:p>
    <w:p>
      <w:pPr>
        <w:jc w:val="both"/>
      </w:pPr>
    </w:p>
    <w:p>
      <w:pPr>
        <w:pStyle w:val="Titre3"/>
        <w:jc w:val="both"/>
      </w:pPr>
      <w:r>
        <w:t>Schéma</w:t>
      </w:r>
    </w:p>
    <w:p>
      <w:pPr>
        <w:ind w:left="720"/>
        <w:jc w:val="both"/>
      </w:pPr>
      <w:r>
        <w:rPr>
          <w:rFonts w:ascii="Courier New" w:hAnsi="Courier New"/>
          <w:sz w:val="20"/>
          <w:szCs w:val="20"/>
        </w:rPr>
        <w:t xml:space="preserve">Internet</w:t>
      </w:r>
    </w:p>
    <w:p>
      <w:pPr>
        <w:ind w:left="720"/>
        <w:jc w:val="both"/>
      </w:pPr>
      <w:r>
        <w:rPr>
          <w:rFonts w:ascii="Courier New" w:hAnsi="Courier New"/>
          <w:sz w:val="20"/>
          <w:szCs w:val="20"/>
        </w:rPr>
        <w:t xml:space="preserve">    |  HTTPS</w:t>
      </w:r>
    </w:p>
    <w:p>
      <w:pPr>
        <w:ind w:left="720"/>
        <w:jc w:val="both"/>
      </w:pPr>
      <w:r>
        <w:rPr>
          <w:rFonts w:ascii="Courier New" w:hAnsi="Courier New"/>
          <w:sz w:val="20"/>
          <w:szCs w:val="20"/>
        </w:rPr>
        <w:t xml:space="preserve">    v</w:t>
      </w:r>
    </w:p>
    <w:p>
      <w:pPr>
        <w:ind w:left="720"/>
        <w:jc w:val="both"/>
      </w:pPr>
      <w:r>
        <w:rPr>
          <w:rFonts w:ascii="Courier New" w:hAnsi="Courier New"/>
          <w:sz w:val="20"/>
          <w:szCs w:val="20"/>
        </w:rPr>
        <w:t xml:space="preserve">+----------------------------+</w:t>
      </w:r>
    </w:p>
    <w:p>
      <w:pPr>
        <w:ind w:left="720"/>
        <w:jc w:val="both"/>
      </w:pPr>
      <w:r>
        <w:rPr>
          <w:rFonts w:ascii="Courier New" w:hAnsi="Courier New"/>
          <w:sz w:val="20"/>
          <w:szCs w:val="20"/>
        </w:rPr>
        <w:t xml:space="preserve">|  SRV-01 — App / Proxy     |</w:t>
      </w:r>
    </w:p>
    <w:p>
      <w:pPr>
        <w:ind w:left="720"/>
        <w:jc w:val="both"/>
      </w:pPr>
      <w:r>
        <w:rPr>
          <w:rFonts w:ascii="Courier New" w:hAnsi="Courier New"/>
          <w:sz w:val="20"/>
          <w:szCs w:val="20"/>
        </w:rPr>
        <w:t xml:space="preserve">|  Nginx  |  PHP-FPM        |</w:t>
      </w:r>
    </w:p>
    <w:p>
      <w:pPr>
        <w:ind w:left="720"/>
        <w:jc w:val="both"/>
      </w:pPr>
      <w:r>
        <w:rPr>
          <w:rFonts w:ascii="Courier New" w:hAnsi="Courier New"/>
          <w:sz w:val="20"/>
          <w:szCs w:val="20"/>
        </w:rPr>
        <w:t xml:space="preserve">|  Redis  |  Horizon        |</w:t>
      </w:r>
    </w:p>
    <w:p>
      <w:pPr>
        <w:ind w:left="720"/>
        <w:jc w:val="both"/>
      </w:pPr>
      <w:r>
        <w:rPr>
          <w:rFonts w:ascii="Courier New" w:hAnsi="Courier New"/>
          <w:sz w:val="20"/>
          <w:szCs w:val="20"/>
        </w:rPr>
        <w:t xml:space="preserve">+----------------------------+</w:t>
      </w:r>
    </w:p>
    <w:p>
      <w:pPr>
        <w:ind w:left="720"/>
        <w:jc w:val="both"/>
      </w:pPr>
      <w:r>
        <w:rPr>
          <w:rFonts w:ascii="Courier New" w:hAnsi="Courier New"/>
          <w:sz w:val="20"/>
          <w:szCs w:val="20"/>
        </w:rPr>
        <w:t xml:space="preserve">    |  réseau privé</w:t>
      </w:r>
    </w:p>
    <w:p>
      <w:pPr>
        <w:ind w:left="720"/>
        <w:jc w:val="both"/>
      </w:pPr>
      <w:r>
        <w:rPr>
          <w:rFonts w:ascii="Courier New" w:hAnsi="Courier New"/>
          <w:sz w:val="20"/>
          <w:szCs w:val="20"/>
        </w:rPr>
        <w:t xml:space="preserve">    v</w:t>
      </w:r>
    </w:p>
    <w:p>
      <w:pPr>
        <w:ind w:left="720"/>
        <w:jc w:val="both"/>
      </w:pPr>
      <w:r>
        <w:rPr>
          <w:rFonts w:ascii="Courier New" w:hAnsi="Courier New"/>
          <w:sz w:val="20"/>
          <w:szCs w:val="20"/>
        </w:rPr>
        <w:t xml:space="preserve">+----------------------------+</w:t>
      </w:r>
    </w:p>
    <w:p>
      <w:pPr>
        <w:ind w:left="720"/>
        <w:jc w:val="both"/>
      </w:pPr>
      <w:r>
        <w:rPr>
          <w:rFonts w:ascii="Courier New" w:hAnsi="Courier New"/>
          <w:sz w:val="20"/>
          <w:szCs w:val="20"/>
        </w:rPr>
        <w:t xml:space="preserve">|  SRV-02 — Base de données |</w:t>
      </w:r>
    </w:p>
    <w:p>
      <w:pPr>
        <w:ind w:left="720"/>
        <w:jc w:val="both"/>
      </w:pPr>
      <w:r>
        <w:rPr>
          <w:rFonts w:ascii="Courier New" w:hAnsi="Courier New"/>
          <w:sz w:val="20"/>
          <w:szCs w:val="20"/>
        </w:rPr>
        <w:t xml:space="preserve">|  PostgreSQL 16 + PgBouncer |</w:t>
      </w:r>
    </w:p>
    <w:p>
      <w:pPr>
        <w:ind w:left="720"/>
        <w:jc w:val="both"/>
      </w:pPr>
      <w:r>
        <w:rPr>
          <w:rFonts w:ascii="Courier New" w:hAnsi="Courier New"/>
          <w:sz w:val="20"/>
          <w:szCs w:val="20"/>
        </w:rPr>
        <w:t xml:space="preserve">+----------------------------+</w:t>
      </w:r>
    </w:p>
    <w:p>
      <w:pPr>
        <w:ind w:left="720"/>
        <w:jc w:val="both"/>
      </w:pPr>
      <w:r>
        <w:rPr>
          <w:rFonts w:ascii="Courier New" w:hAnsi="Courier New"/>
          <w:sz w:val="20"/>
          <w:szCs w:val="20"/>
        </w:rPr>
        <w:t xml:space="preserve"/>
      </w:r>
    </w:p>
    <w:p>
      <w:pPr>
        <w:ind w:left="720"/>
        <w:jc w:val="both"/>
      </w:pPr>
      <w:r>
        <w:rPr>
          <w:rFonts w:ascii="Courier New" w:hAnsi="Courier New"/>
          <w:sz w:val="20"/>
          <w:szCs w:val="20"/>
        </w:rPr>
        <w:t xml:space="preserve">+----------------------------+</w:t>
      </w:r>
    </w:p>
    <w:p>
      <w:pPr>
        <w:ind w:left="720"/>
        <w:jc w:val="both"/>
      </w:pPr>
      <w:r>
        <w:rPr>
          <w:rFonts w:ascii="Courier New" w:hAnsi="Courier New"/>
          <w:sz w:val="20"/>
          <w:szCs w:val="20"/>
        </w:rPr>
        <w:t xml:space="preserve">|  SRV-03 — Monitoring      |</w:t>
      </w:r>
    </w:p>
    <w:p>
      <w:pPr>
        <w:ind w:left="720"/>
        <w:jc w:val="both"/>
      </w:pPr>
      <w:r>
        <w:rPr>
          <w:rFonts w:ascii="Courier New" w:hAnsi="Courier New"/>
          <w:sz w:val="20"/>
          <w:szCs w:val="20"/>
        </w:rPr>
        <w:t xml:space="preserve">|  Zabbix + Backups          |</w:t>
      </w:r>
    </w:p>
    <w:p>
      <w:pPr>
        <w:ind w:left="720"/>
        <w:jc w:val="both"/>
      </w:pPr>
      <w:r>
        <w:rPr>
          <w:rFonts w:ascii="Courier New" w:hAnsi="Courier New"/>
          <w:sz w:val="20"/>
          <w:szCs w:val="20"/>
        </w:rPr>
        <w:t xml:space="preserve">+----------------------------+</w:t>
      </w:r>
    </w:p>
    <w:p>
      <w:pPr>
        <w:jc w:val="both"/>
      </w:pPr>
    </w:p>
    <w:p>
      <w:pPr>
        <w:jc w:val="both"/>
      </w:pPr>
      <w:r>
        <w:t>Point de défaillance unique (SPOF) assumé en Phase A — acceptable pour un lancement. Atténuation : sauvegardes PostgreSQL journalières sur SRV-03, snapshots serveurs hebdomadaires chez le fournisseur d’hébergement.</w:t>
      </w:r>
    </w:p>
    <w:p>
      <w:pPr>
        <w:jc w:val="both"/>
      </w:pPr>
    </w:p>
    <w:p>
      <w:pPr>
        <w:pStyle w:val="Titre2"/>
        <w:jc w:val="both"/>
      </w:pPr>
      <w:r>
        <w:t>4.2 Phase B — Croissance (50–300 boutiques)</w:t>
      </w:r>
    </w:p>
    <w:p>
      <w:pPr>
        <w:jc w:val="both"/>
      </w:pPr>
    </w:p>
    <w:p>
      <w:pPr>
        <w:pStyle w:val="Titre3"/>
        <w:jc w:val="both"/>
      </w:pPr>
      <w:r>
        <w:t>Déclencheur</w:t>
      </w:r>
    </w:p>
    <w:p>
      <w:pPr>
        <w:jc w:val="both"/>
      </w:pPr>
      <w:r>
        <w:t>CPU SRV-01 &amp;gt; 70 % en continu sur 30 minutes (alerte Zabbix), ou latence API P95 &amp;gt; 300 ms, ou atteinte de 50 boutiques actives.</w:t>
      </w:r>
    </w:p>
    <w:p>
      <w:pPr>
        <w:jc w:val="both"/>
      </w:pPr>
    </w:p>
    <w:p>
      <w:pPr>
        <w:pStyle w:val="Titre3"/>
        <w:jc w:val="both"/>
      </w:pPr>
      <w:r>
        <w:t>Schéma</w:t>
      </w:r>
    </w:p>
    <w:p>
      <w:pPr>
        <w:ind w:left="720"/>
        <w:jc w:val="both"/>
      </w:pPr>
      <w:r>
        <w:rPr>
          <w:rFonts w:ascii="Courier New" w:hAnsi="Courier New"/>
          <w:sz w:val="20"/>
          <w:szCs w:val="20"/>
        </w:rPr>
        <w:t xml:space="preserve">Internet</w:t>
      </w:r>
    </w:p>
    <w:p>
      <w:pPr>
        <w:ind w:left="720"/>
        <w:jc w:val="both"/>
      </w:pPr>
      <w:r>
        <w:rPr>
          <w:rFonts w:ascii="Courier New" w:hAnsi="Courier New"/>
          <w:sz w:val="20"/>
          <w:szCs w:val="20"/>
        </w:rPr>
        <w:t xml:space="preserve">    |  HTTPS</w:t>
      </w:r>
    </w:p>
    <w:p>
      <w:pPr>
        <w:ind w:left="720"/>
        <w:jc w:val="both"/>
      </w:pPr>
      <w:r>
        <w:rPr>
          <w:rFonts w:ascii="Courier New" w:hAnsi="Courier New"/>
          <w:sz w:val="20"/>
          <w:szCs w:val="20"/>
        </w:rPr>
        <w:t xml:space="preserve">    v</w:t>
      </w:r>
    </w:p>
    <w:p>
      <w:pPr>
        <w:ind w:left="720"/>
        <w:jc w:val="both"/>
      </w:pPr>
      <w:r>
        <w:rPr>
          <w:rFonts w:ascii="Courier New" w:hAnsi="Courier New"/>
          <w:sz w:val="20"/>
          <w:szCs w:val="20"/>
        </w:rPr>
        <w:t xml:space="preserve">+----------------------------+</w:t>
      </w:r>
    </w:p>
    <w:p>
      <w:pPr>
        <w:ind w:left="720"/>
        <w:jc w:val="both"/>
      </w:pPr>
      <w:r>
        <w:rPr>
          <w:rFonts w:ascii="Courier New" w:hAnsi="Courier New"/>
          <w:sz w:val="20"/>
          <w:szCs w:val="20"/>
        </w:rPr>
        <w:t xml:space="preserve">|  HAProxy Load Balancer     |</w:t>
      </w:r>
    </w:p>
    <w:p>
      <w:pPr>
        <w:ind w:left="720"/>
        <w:jc w:val="both"/>
      </w:pPr>
      <w:r>
        <w:rPr>
          <w:rFonts w:ascii="Courier New" w:hAnsi="Courier New"/>
          <w:sz w:val="20"/>
          <w:szCs w:val="20"/>
        </w:rPr>
        <w:t xml:space="preserve">+----------------------------+</w:t>
      </w:r>
    </w:p>
    <w:p>
      <w:pPr>
        <w:ind w:left="720"/>
        <w:jc w:val="both"/>
      </w:pPr>
      <w:r>
        <w:rPr>
          <w:rFonts w:ascii="Courier New" w:hAnsi="Courier New"/>
          <w:sz w:val="20"/>
          <w:szCs w:val="20"/>
        </w:rPr>
        <w:t xml:space="preserve">    |              |</w:t>
      </w:r>
    </w:p>
    <w:p>
      <w:pPr>
        <w:ind w:left="720"/>
        <w:jc w:val="both"/>
      </w:pPr>
      <w:r>
        <w:rPr>
          <w:rFonts w:ascii="Courier New" w:hAnsi="Courier New"/>
          <w:sz w:val="20"/>
          <w:szCs w:val="20"/>
        </w:rPr>
        <w:t xml:space="preserve">    v              v</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SRV-01a |  |  SRV-01b |  &amp;lt;- Nœuds Laravel</w:t>
      </w:r>
    </w:p>
    <w:p>
      <w:pPr>
        <w:ind w:left="720"/>
        <w:jc w:val="both"/>
      </w:pPr>
      <w:r>
        <w:rPr>
          <w:rFonts w:ascii="Courier New" w:hAnsi="Courier New"/>
          <w:sz w:val="20"/>
          <w:szCs w:val="20"/>
        </w:rPr>
        <w:t xml:space="preserve">|  Nginx   |  |  PHP-FPM |</w:t>
      </w:r>
    </w:p>
    <w:p>
      <w:pPr>
        <w:ind w:left="720"/>
        <w:jc w:val="both"/>
      </w:pPr>
      <w:r>
        <w:rPr>
          <w:rFonts w:ascii="Courier New" w:hAnsi="Courier New"/>
          <w:sz w:val="20"/>
          <w:szCs w:val="20"/>
        </w:rPr>
        <w:t xml:space="preserve">|  PHP-FPM |  |  Nginx   |</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          |</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 SRV-04 (nouveau)  |</w:t>
      </w:r>
    </w:p>
    <w:p>
      <w:pPr>
        <w:ind w:left="720"/>
        <w:jc w:val="both"/>
      </w:pPr>
      <w:r>
        <w:rPr>
          <w:rFonts w:ascii="Courier New" w:hAnsi="Courier New"/>
          <w:sz w:val="20"/>
          <w:szCs w:val="20"/>
        </w:rPr>
        <w:t xml:space="preserve">    | Redis + Horizon   |</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  +--------------------+</w:t>
      </w:r>
    </w:p>
    <w:p>
      <w:pPr>
        <w:ind w:left="720"/>
        <w:jc w:val="both"/>
      </w:pPr>
      <w:r>
        <w:rPr>
          <w:rFonts w:ascii="Courier New" w:hAnsi="Courier New"/>
          <w:sz w:val="20"/>
          <w:szCs w:val="20"/>
        </w:rPr>
        <w:t xml:space="preserve">    | SRV-02a PostgreSQL|  | SRV-02b PG Replica |</w:t>
      </w:r>
    </w:p>
    <w:p>
      <w:pPr>
        <w:ind w:left="720"/>
        <w:jc w:val="both"/>
      </w:pPr>
      <w:r>
        <w:rPr>
          <w:rFonts w:ascii="Courier New" w:hAnsi="Courier New"/>
          <w:sz w:val="20"/>
          <w:szCs w:val="20"/>
        </w:rPr>
        <w:t xml:space="preserve">    | (Primary)         |-&gt;| (streaming)        |</w:t>
      </w:r>
    </w:p>
    <w:p>
      <w:pPr>
        <w:ind w:left="720"/>
        <w:jc w:val="both"/>
      </w:pPr>
      <w:r>
        <w:rPr>
          <w:rFonts w:ascii="Courier New" w:hAnsi="Courier New"/>
          <w:sz w:val="20"/>
          <w:szCs w:val="20"/>
        </w:rPr>
        <w:t xml:space="preserve">    +-------------------+  +--------------------+</w:t>
      </w:r>
    </w:p>
    <w:p>
      <w:pPr>
        <w:jc w:val="both"/>
      </w:pPr>
    </w:p>
    <w:p>
      <w:pPr>
        <w:jc w:val="both"/>
      </w:pPr>
      <w:r>
        <w:t>Ajouts Phase B : isolation Redis/Horizon sur SRV-04 (simple variable d’environnement REDIS_HOST), réplication PostgreSQL en streaming (lectures dirigées vers le replica), second nœud Laravel pour rolling updates sans coupure.</w:t>
      </w:r>
    </w:p>
    <w:p>
      <w:pPr>
        <w:jc w:val="both"/>
      </w:pPr>
    </w:p>
    <w:p>
      <w:pPr>
        <w:pStyle w:val="Titre2"/>
        <w:jc w:val="both"/>
      </w:pPr>
      <w:r>
        <w:t>4.3 Phase C — HA complète (300+ boutiques)</w:t>
      </w:r>
    </w:p>
    <w:p>
      <w:pPr>
        <w:jc w:val="both"/>
      </w:pPr>
    </w:p>
    <w:p>
      <w:pPr>
        <w:pStyle w:val="Titre3"/>
        <w:jc w:val="both"/>
      </w:pPr>
      <w:r>
        <w:t>Déclencheur</w:t>
      </w:r>
    </w:p>
    <w:p>
      <w:pPr>
        <w:jc w:val="both"/>
      </w:pPr>
      <w:r>
        <w:t>Atteinte de 300 boutiques actives, ou engagement de SLA contractuel supérieur ou égal à 99,9 %, ou incident de production majeur lié à un SPOF.</w:t>
      </w:r>
    </w:p>
    <w:p>
      <w:pPr>
        <w:jc w:val="both"/>
      </w:pPr>
    </w:p>
    <w:p>
      <w:pPr>
        <w:pStyle w:val="Titre3"/>
        <w:jc w:val="both"/>
      </w:pPr>
      <w:r>
        <w:t>Schéma</w:t>
      </w:r>
    </w:p>
    <w:p>
      <w:pPr>
        <w:ind w:left="720"/>
        <w:jc w:val="both"/>
      </w:pPr>
      <w:r>
        <w:rPr>
          <w:rFonts w:ascii="Courier New" w:hAnsi="Courier New"/>
          <w:sz w:val="20"/>
          <w:szCs w:val="20"/>
        </w:rPr>
        <w:t xml:space="preserve">Internet -&amp;gt; [CDN Cloudflare]</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v</w:t>
      </w:r>
    </w:p>
    <w:p>
      <w:pPr>
        <w:ind w:left="720"/>
        <w:jc w:val="both"/>
      </w:pPr>
      <w:r>
        <w:rPr>
          <w:rFonts w:ascii="Courier New" w:hAnsi="Courier New"/>
          <w:sz w:val="20"/>
          <w:szCs w:val="20"/>
        </w:rPr>
        <w:t xml:space="preserve">+------------------------------+</w:t>
      </w:r>
    </w:p>
    <w:p>
      <w:pPr>
        <w:ind w:left="720"/>
        <w:jc w:val="both"/>
      </w:pPr>
      <w:r>
        <w:rPr>
          <w:rFonts w:ascii="Courier New" w:hAnsi="Courier New"/>
          <w:sz w:val="20"/>
          <w:szCs w:val="20"/>
        </w:rPr>
        <w:t xml:space="preserve">| LB-01 + LB-02 (Keepalived)  |  &amp;lt;- VIP flottante</w:t>
      </w:r>
    </w:p>
    <w:p>
      <w:pPr>
        <w:ind w:left="720"/>
        <w:jc w:val="both"/>
      </w:pPr>
      <w:r>
        <w:rPr>
          <w:rFonts w:ascii="Courier New" w:hAnsi="Courier New"/>
          <w:sz w:val="20"/>
          <w:szCs w:val="20"/>
        </w:rPr>
        <w:t xml:space="preserve">+------------------------------+</w:t>
      </w:r>
    </w:p>
    <w:p>
      <w:pPr>
        <w:ind w:left="720"/>
        <w:jc w:val="both"/>
      </w:pPr>
      <w:r>
        <w:rPr>
          <w:rFonts w:ascii="Courier New" w:hAnsi="Courier New"/>
          <w:sz w:val="20"/>
          <w:szCs w:val="20"/>
        </w:rPr>
        <w:t xml:space="preserve">    |          |          |</w:t>
      </w:r>
    </w:p>
    <w:p>
      <w:pPr>
        <w:ind w:left="720"/>
        <w:jc w:val="both"/>
      </w:pPr>
      <w:r>
        <w:rPr>
          <w:rFonts w:ascii="Courier New" w:hAnsi="Courier New"/>
          <w:sz w:val="20"/>
          <w:szCs w:val="20"/>
        </w:rPr>
        <w:t xml:space="preserve">    v          v          v</w:t>
      </w:r>
    </w:p>
    <w:p>
      <w:pPr>
        <w:ind w:left="720"/>
        <w:jc w:val="both"/>
      </w:pPr>
      <w:r>
        <w:rPr>
          <w:rFonts w:ascii="Courier New" w:hAnsi="Courier New"/>
          <w:sz w:val="20"/>
          <w:szCs w:val="20"/>
        </w:rPr>
        <w:t xml:space="preserve">+--------+ +--------+ +--------+</w:t>
      </w:r>
    </w:p>
    <w:p>
      <w:pPr>
        <w:ind w:left="720"/>
        <w:jc w:val="both"/>
      </w:pPr>
      <w:r>
        <w:rPr>
          <w:rFonts w:ascii="Courier New" w:hAnsi="Courier New"/>
          <w:sz w:val="20"/>
          <w:szCs w:val="20"/>
        </w:rPr>
        <w:t xml:space="preserve">| APP-01 | | APP-02 | | APP-03 |  &amp;lt;- Nœuds Laravel</w:t>
      </w:r>
    </w:p>
    <w:p>
      <w:pPr>
        <w:ind w:left="720"/>
        <w:jc w:val="both"/>
      </w:pPr>
      <w:r>
        <w:rPr>
          <w:rFonts w:ascii="Courier New" w:hAnsi="Courier New"/>
          <w:sz w:val="20"/>
          <w:szCs w:val="20"/>
        </w:rPr>
        <w:t xml:space="preserve">+--------+ +--------+ +--------+</w:t>
      </w:r>
    </w:p>
    <w:p>
      <w:pPr>
        <w:ind w:left="720"/>
        <w:jc w:val="both"/>
      </w:pPr>
      <w:r>
        <w:rPr>
          <w:rFonts w:ascii="Courier New" w:hAnsi="Courier New"/>
          <w:sz w:val="20"/>
          <w:szCs w:val="20"/>
        </w:rPr>
        <w:t xml:space="preserve">         |           |</w:t>
      </w:r>
    </w:p>
    <w:p>
      <w:pPr>
        <w:ind w:left="720"/>
        <w:jc w:val="both"/>
      </w:pPr>
      <w:r>
        <w:rPr>
          <w:rFonts w:ascii="Courier New" w:hAnsi="Courier New"/>
          <w:sz w:val="20"/>
          <w:szCs w:val="20"/>
        </w:rPr>
        <w:t xml:space="preserve">  +------+------+    +-------------------+</w:t>
      </w:r>
    </w:p>
    <w:p>
      <w:pPr>
        <w:ind w:left="720"/>
        <w:jc w:val="both"/>
      </w:pPr>
      <w:r>
        <w:rPr>
          <w:rFonts w:ascii="Courier New" w:hAnsi="Courier New"/>
          <w:sz w:val="20"/>
          <w:szCs w:val="20"/>
        </w:rPr>
        <w:t xml:space="preserve">  | Patroni      |   | Redis Cluster     |</w:t>
      </w:r>
    </w:p>
    <w:p>
      <w:pPr>
        <w:ind w:left="720"/>
        <w:jc w:val="both"/>
      </w:pPr>
      <w:r>
        <w:rPr>
          <w:rFonts w:ascii="Courier New" w:hAnsi="Courier New"/>
          <w:sz w:val="20"/>
          <w:szCs w:val="20"/>
        </w:rPr>
        <w:t xml:space="preserve">  | PG 3 nœuds  |   | 6 nœuds (3M + 3S)|</w:t>
      </w:r>
    </w:p>
    <w:p>
      <w:pPr>
        <w:ind w:left="720"/>
        <w:jc w:val="both"/>
      </w:pPr>
      <w:r>
        <w:rPr>
          <w:rFonts w:ascii="Courier New" w:hAnsi="Courier New"/>
          <w:sz w:val="20"/>
          <w:szCs w:val="20"/>
        </w:rPr>
        <w:t xml:space="preserve">  | (failover    |   +-------------------+</w:t>
      </w:r>
    </w:p>
    <w:p>
      <w:pPr>
        <w:ind w:left="720"/>
        <w:jc w:val="both"/>
      </w:pPr>
      <w:r>
        <w:rPr>
          <w:rFonts w:ascii="Courier New" w:hAnsi="Courier New"/>
          <w:sz w:val="20"/>
          <w:szCs w:val="20"/>
        </w:rPr>
        <w:t xml:space="preserve">  |  auto &amp;lt; 30s)|</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w:t>
      </w:r>
    </w:p>
    <w:p>
      <w:pPr>
        <w:ind w:left="720"/>
        <w:jc w:val="both"/>
      </w:pPr>
      <w:r>
        <w:rPr>
          <w:rFonts w:ascii="Courier New" w:hAnsi="Courier New"/>
          <w:sz w:val="20"/>
          <w:szCs w:val="20"/>
        </w:rPr>
        <w:t xml:space="preserve">  | MinIO / S3    |  &amp;lt;- Object store</w:t>
      </w:r>
    </w:p>
    <w:p>
      <w:pPr>
        <w:ind w:left="720"/>
        <w:jc w:val="both"/>
      </w:pPr>
      <w:r>
        <w:rPr>
          <w:rFonts w:ascii="Courier New" w:hAnsi="Courier New"/>
          <w:sz w:val="20"/>
          <w:szCs w:val="20"/>
        </w:rPr>
        <w:t xml:space="preserve">  +---------------+</w:t>
      </w:r>
    </w:p>
    <w:p>
      <w:pPr>
        <w:jc w:val="both"/>
      </w:pPr>
    </w:p>
    <w:p>
      <w:pPr>
        <w:jc w:val="both"/>
      </w:pPr>
      <w:r>
        <w:t>Phase C élimine tout SPOF : Patroni assure le basculement automatique PostgreSQL en moins de 30 secondes, Keepalived fournit une IP virtuelle flottante pour les load balancers, Redis Cluster distribue le cache sans point unique de défaillance. Le déploiement blue-green sur les nœuds Laravel garantit des mises à jour sans interruption de service.</w:t>
      </w:r>
    </w:p>
    <w:p>
      <w:r>
        <w:br w:type="page"/>
      </w:r>
    </w:p>
    <w:p>
      <w:pPr>
        <w:pStyle w:val="Titre1"/>
        <w:jc w:val="both"/>
      </w:pPr>
      <w:r>
        <w:t>5. JUSTIFICATIONS &amp; ÉVOLUTIVITÉ</w:t>
      </w:r>
    </w:p>
    <w:p>
      <w:pPr>
        <w:jc w:val="both"/>
      </w:pPr>
    </w:p>
    <w:p>
      <w:pPr>
        <w:pStyle w:val="Titre2"/>
        <w:jc w:val="both"/>
      </w:pPr>
      <w:r>
        <w:t>5.1 Pertinence des technologies retenues</w:t>
      </w:r>
    </w:p>
    <w:p>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tr>
        <w:trPr>
          <w:tblHeader/>
        </w:trPr>
        <w:tc>
          <w:tcPr>
            <w:tcW w:w="1800" w:type="dxa"/>
          </w:tcPr>
          <w:p>
            <w:pPr>
              <w:jc w:val="both"/>
            </w:pPr>
            <w:r>
              <w:rPr>
                <w:b/>
                <w:bCs/>
              </w:rPr>
              <w:t>Technologie</w:t>
            </w:r>
          </w:p>
        </w:tc>
        <w:tc>
          <w:tcPr>
            <w:tcW w:w="3919" w:type="dxa"/>
          </w:tcPr>
          <w:p>
            <w:pPr>
              <w:jc w:val="both"/>
            </w:pPr>
            <w:r>
              <w:rPr>
                <w:b/>
                <w:bCs/>
              </w:rPr>
              <w:t xml:space="preserve">Raisons du choix</w:t>
            </w:r>
          </w:p>
        </w:tc>
        <w:tc>
          <w:tcPr>
            <w:tcW w:w="3919" w:type="dxa"/>
          </w:tcPr>
          <w:p>
            <w:pPr>
              <w:jc w:val="both"/>
            </w:pPr>
            <w:r>
              <w:rPr>
                <w:b/>
                <w:bCs/>
              </w:rPr>
              <w:t xml:space="preserve">Alternative écartée &amp; pourquoi</w:t>
            </w:r>
          </w:p>
        </w:tc>
      </w:tr>
      <w:tr>
        <w:tc>
          <w:tcPr>
            <w:tcW w:w="1800" w:type="dxa"/>
          </w:tcPr>
          <w:p>
            <w:pPr>
              <w:jc w:val="both"/>
            </w:pPr>
            <w:r>
              <w:rPr>
                <w:b/>
                <w:bCs/>
              </w:rPr>
              <w:t xml:space="preserve">PHP Laravel</w:t>
            </w:r>
          </w:p>
        </w:tc>
        <w:tc>
          <w:tcPr>
            <w:tcW w:w="3919" w:type="dxa"/>
          </w:tcPr>
          <w:p>
            <w:pPr>
              <w:jc w:val="both"/>
            </w:pPr>
            <w:r>
              <w:t xml:space="preserve">Écosystème mature (Horizon, Sanctum, Octane), communauté francophone/africaine forte, queues natives pour la synchronisation offline, déploiement simple sur serveurs dédiés sans orchestrateur.</w:t>
            </w:r>
          </w:p>
        </w:tc>
        <w:tc>
          <w:tcPr>
            <w:tcW w:w="3919" w:type="dxa"/>
          </w:tcPr>
          <w:p>
            <w:pPr>
              <w:jc w:val="both"/>
            </w:pPr>
            <w:r>
              <w:t xml:space="preserve">Node.js/NestJS : courbe d’apprentissage plus élevée. Go : excellent en performances mais surcoût de recrutement. Django : plus adapté aux projets data-heavy.</w:t>
            </w:r>
          </w:p>
        </w:tc>
      </w:tr>
      <w:tr>
        <w:tc>
          <w:tcPr>
            <w:tcW w:w="1800" w:type="dxa"/>
          </w:tcPr>
          <w:p>
            <w:pPr>
              <w:jc w:val="both"/>
            </w:pPr>
            <w:r>
              <w:rPr>
                <w:b/>
                <w:bCs/>
              </w:rPr>
              <w:t>PostgreSQL</w:t>
            </w:r>
          </w:p>
        </w:tc>
        <w:tc>
          <w:tcPr>
            <w:tcW w:w="3919" w:type="dxa"/>
          </w:tcPr>
          <w:p>
            <w:pPr>
              <w:jc w:val="both"/>
            </w:pPr>
            <w:r>
              <w:t xml:space="preserve">Transactions ACID, support JSON/JSONB natif (métadonnées V2), partitionnement natif, réplication streaming standard, extensions (uuid-ossp, pg_stat_statements).</w:t>
            </w:r>
          </w:p>
        </w:tc>
        <w:tc>
          <w:tcPr>
            <w:tcW w:w="3919" w:type="dxa"/>
          </w:tcPr>
          <w:p>
            <w:pPr>
              <w:jc w:val="both"/>
            </w:pPr>
            <w:r>
              <w:t xml:space="preserve">MySQL : moins robuste sur les contraintes FK complexes et le partitionnement avancé. MongoDB : inadapté à un modèle de données transactionnel financier.</w:t>
            </w:r>
          </w:p>
        </w:tc>
      </w:tr>
      <w:tr>
        <w:tc>
          <w:tcPr>
            <w:tcW w:w="1800" w:type="dxa"/>
          </w:tcPr>
          <w:p>
            <w:pPr>
              <w:jc w:val="both"/>
            </w:pPr>
            <w:r>
              <w:rPr>
                <w:b/>
                <w:bCs/>
              </w:rPr>
              <w:t>Redis</w:t>
            </w:r>
          </w:p>
        </w:tc>
        <w:tc>
          <w:tcPr>
            <w:tcW w:w="3919" w:type="dxa"/>
          </w:tcPr>
          <w:p>
            <w:pPr>
              <w:jc w:val="both"/>
            </w:pPr>
            <w:r>
              <w:t xml:space="preserve">Latence sous-milliseconde, structures de données riches (sorted sets pour les stats, streams pour les queues), Sentinel/Cluster natifs pour la HA. Installation sur SRV-01 sans surcoût au lancement.</w:t>
            </w:r>
          </w:p>
        </w:tc>
        <w:tc>
          <w:tcPr>
            <w:tcW w:w="3919" w:type="dxa"/>
          </w:tcPr>
          <w:p>
            <w:pPr>
              <w:jc w:val="both"/>
            </w:pPr>
            <w:r>
              <w:t xml:space="preserve">Memcached : pas de persistance, pas de structures avancées. Elasticsearch : surdimensionné pour du cache.</w:t>
            </w:r>
          </w:p>
        </w:tc>
      </w:tr>
      <w:tr>
        <w:tc>
          <w:tcPr>
            <w:tcW w:w="1800" w:type="dxa"/>
          </w:tcPr>
          <w:p>
            <w:pPr>
              <w:jc w:val="both"/>
            </w:pPr>
            <w:r>
              <w:rPr>
                <w:b/>
                <w:bCs/>
              </w:rPr>
              <w:t>Nginx</w:t>
            </w:r>
          </w:p>
        </w:tc>
        <w:tc>
          <w:tcPr>
            <w:tcW w:w="3919" w:type="dxa"/>
          </w:tcPr>
          <w:p>
            <w:pPr>
              <w:jc w:val="both"/>
            </w:pPr>
            <w:r>
              <w:t xml:space="preserve">Proxy haute performance, configuration déclarative, modules TLS/gzip/cache statique intégrés, faible empreinte mémoire (~2 Mo/worker). Colocalisation avec PHP-FPM sans dégradation.</w:t>
            </w:r>
          </w:p>
        </w:tc>
        <w:tc>
          <w:tcPr>
            <w:tcW w:w="3919" w:type="dxa"/>
          </w:tcPr>
          <w:p>
            <w:pPr>
              <w:jc w:val="both"/>
            </w:pPr>
            <w:r>
              <w:t xml:space="preserve">Apache : configuration plus complexe, performances moindres sous forte charge concurrente. Traefik : sur-engineering pour des serveurs dédiés fixes.</w:t>
            </w:r>
          </w:p>
        </w:tc>
      </w:tr>
    </w:tbl>
    <w:p>
      <w:pPr>
        <w:jc w:val="both"/>
      </w:pPr>
    </w:p>
    <w:p>
      <w:pPr>
        <w:pStyle w:val="Titre2"/>
        <w:jc w:val="both"/>
      </w:pPr>
      <w:r>
        <w:t>5.2 Évolutivité de l’architecture 3 serveurs</w:t>
      </w:r>
    </w:p>
    <w:p>
      <w:pPr>
        <w:pStyle w:val="Paragraphedeliste"/>
        <w:jc w:val="both"/>
      </w:pPr>
      <w:r>
        <w:rPr>
          <w:b/>
          <w:bCs/>
        </w:rPr>
        <w:t xml:space="preserve">Horizontal scaling applicatif : </w:t>
      </w:r>
      <w:r>
        <w:t>SRV-01 est sans état applicatif (sessions en Redis, fichiers médias sur volume partagé ou objet store). Ajouter un second nœud Laravel derrière HAProxy ne nécessite aucune modification du code.</w:t>
      </w:r>
    </w:p>
    <w:p>
      <w:pPr>
        <w:pStyle w:val="Paragraphedeliste"/>
        <w:jc w:val="both"/>
      </w:pPr>
      <w:r>
        <w:rPr>
          <w:b/>
          <w:bCs/>
        </w:rPr>
        <w:t xml:space="preserve">Isolation des composants : </w:t>
      </w:r>
      <w:r>
        <w:t>Redis, Horizon et Nginx peuvent être extraits de SRV-01 individuellement, sans modifier l’architecture BDD ni le code applicatif — uniquement les variables d’environnement Laravel.</w:t>
      </w:r>
    </w:p>
    <w:p>
      <w:pPr>
        <w:pStyle w:val="Paragraphedeliste"/>
        <w:jc w:val="both"/>
      </w:pPr>
      <w:r>
        <w:rPr>
          <w:b/>
          <w:bCs/>
        </w:rPr>
        <w:t xml:space="preserve">Migration vers conteneurs : </w:t>
      </w:r>
      <w:r>
        <w:t>chaque composant de SRV-01 (Nginx, PHP-FPM, Redis, Horizon) peut être dockerisé pour une migration progressive vers Docker Swarm ou Kubernetes en Phase C sans refonte logique.</w:t>
      </w:r>
    </w:p>
    <w:p>
      <w:pPr>
        <w:pStyle w:val="Paragraphedeliste"/>
        <w:jc w:val="both"/>
      </w:pPr>
      <w:r>
        <w:rPr>
          <w:b/>
          <w:bCs/>
        </w:rPr>
        <w:t xml:space="preserve">Multi-région : </w:t>
      </w:r>
      <w:r>
        <w:t>la réplication PostgreSQL peut être étendue à une région géographique distincte en Phase C pour réduire la latence des clients distants (Afrique subsaharienne / France).</w:t>
      </w:r>
    </w:p>
    <w:p>
      <w:pPr>
        <w:jc w:val="both"/>
      </w:pPr>
    </w:p>
    <w:p>
      <w:pPr>
        <w:pStyle w:val="Titre2"/>
        <w:jc w:val="both"/>
      </w:pPr>
      <w:r>
        <w:t>5.3 Gestion des pics de charge</w:t>
      </w:r>
    </w:p>
    <w:p>
      <w:pPr>
        <w:jc w:val="both"/>
      </w:pPr>
      <w:r>
        <w:t>Les périodes commerciales à forte activité (promotions, fin de mois, fêtes) génèrent des pics de 3 à 5× le trafic nominal. L’architecture les absorbe via :</w:t>
      </w:r>
    </w:p>
    <w:p>
      <w:pPr>
        <w:pStyle w:val="Paragraphedeliste"/>
        <w:jc w:val="both"/>
      </w:pPr>
      <w:r>
        <w:rPr>
          <w:b/>
          <w:bCs/>
        </w:rPr>
        <w:t xml:space="preserve">Cache Redis agressif : </w:t>
      </w:r>
      <w:r>
        <w:t>catalogue produits et statistiques servis en moins de 1 ms depuis Redis — PostgreSQL ne voit que les écritures de transactions, non les lectures répétées des tableaux de bord.</w:t>
      </w:r>
    </w:p>
    <w:p>
      <w:pPr>
        <w:pStyle w:val="Paragraphedeliste"/>
        <w:jc w:val="both"/>
      </w:pPr>
      <w:r>
        <w:rPr>
          <w:b/>
          <w:bCs/>
        </w:rPr>
        <w:t xml:space="preserve">File Horizon asynchrone : </w:t>
      </w:r>
      <w:r>
        <w:t>les synchronisations offline arrivent en rafale au retour de connexion. Horizon les absorbe en file sans bloquer les API synchrones — la disponibilité reste totale, seul le délai de traitement augmente temporairement.</w:t>
      </w:r>
    </w:p>
    <w:p>
      <w:pPr>
        <w:pStyle w:val="Paragraphedeliste"/>
        <w:jc w:val="both"/>
      </w:pPr>
      <w:r>
        <w:rPr>
          <w:b/>
          <w:bCs/>
        </w:rPr>
        <w:t xml:space="preserve">Nginx rate limiting : </w:t>
      </w:r>
      <w:r>
        <w:t>les pics anormaux (bots, erreurs client en boucle) sont écrêtés avant de consommer des ressources PHP-FPM.</w:t>
      </w:r>
    </w:p>
    <w:p>
      <w:pPr>
        <w:pStyle w:val="Paragraphedeliste"/>
        <w:jc w:val="both"/>
      </w:pPr>
      <w:r>
        <w:rPr>
          <w:b/>
          <w:bCs/>
        </w:rPr>
        <w:t xml:space="preserve">pm.process_idle_timeout = 10s : </w:t>
      </w:r>
      <w:r>
        <w:t>les workers excédentaires sont libérés rapidement après le pic, restituant la RAM à Redis et au système.</w:t>
      </w:r>
    </w:p>
    <w:p>
      <w:pPr>
        <w:jc w:val="both"/>
      </w:pPr>
    </w:p>
    <w:p>
      <w:pPr>
        <w:pStyle w:val="Titre2"/>
        <w:jc w:val="both"/>
      </w:pPr>
      <w:r>
        <w:t>5.4 Synchronisation offline-first V0 → V1</w:t>
      </w:r>
    </w:p>
    <w:p>
      <w:pPr>
        <w:jc w:val="both"/>
      </w:pPr>
      <w:r>
        <w:t>La synchronisation offline est le défi technique central de la plateforme. Le flux retenu pour ne pas dégrader les performances en ligne :</w:t>
      </w:r>
    </w:p>
    <w:p>
      <w:pPr>
        <w:pStyle w:val="Paragraphedeliste"/>
        <w:jc w:val="both"/>
      </w:pPr>
      <w:r>
        <w:t>L’appareil mobile V1 stocke les ventes localement (SQLite) horodatées avec un UUID local. Dès que la connectivité est rétablie, il pousse un batch JSON compressé (gzip) vers /api/v1/sync.</w:t>
      </w:r>
    </w:p>
    <w:p>
      <w:pPr>
        <w:pStyle w:val="Paragraphedeliste"/>
        <w:jc w:val="both"/>
      </w:pPr>
      <w:r>
        <w:t>L’endpoint /api/v1/sync valide et enqueue immédiatement dans Redis (file sync-offline) — réponse HTTP 202 Accepted en moins de 50 ms, sans traitement synchrone côté Laravel.</w:t>
      </w:r>
    </w:p>
    <w:p>
      <w:pPr>
        <w:pStyle w:val="Paragraphedeliste"/>
        <w:jc w:val="both"/>
      </w:pPr>
      <w:r>
        <w:t>Les workers Horizon (supervisor-sync, 20 processus) consomment la file, désérialisent, déduplicatent via UUID local + tenant_id, et appliquent les transactions dans PostgreSQL en mode batch (INSERT ON CONFLICT DO NOTHING).</w:t>
      </w:r>
    </w:p>
    <w:p>
      <w:pPr>
        <w:pStyle w:val="Paragraphedeliste"/>
        <w:jc w:val="both"/>
      </w:pPr>
      <w:r>
        <w:t>En cas de vente offline d’un article dont le stock a été épuisé entre-temps, la vente est enregistrée et une alerte de stock négatif est générée — résolution manuelle par le gestionnaire pour préserver l’intégrité de l’historique POS.</w:t>
      </w:r>
    </w:p>
    <w:p>
      <w:pPr>
        <w:jc w:val="both"/>
      </w:pPr>
    </w:p>
    <w:p>
      <w:pPr>
        <w:pStyle w:val="Titre2"/>
        <w:jc w:val="both"/>
      </w:pPr>
      <w:r>
        <w:t>5.5 Garanties de tenue en charge par phase</w:t>
      </w:r>
    </w:p>
    <w:p>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tr>
        <w:trPr>
          <w:tblHeader/>
        </w:trPr>
        <w:tc>
          <w:tcPr>
            <w:tcW w:w="1200" w:type="dxa"/>
          </w:tcPr>
          <w:p>
            <w:pPr>
              <w:jc w:val="both"/>
            </w:pPr>
            <w:r>
              <w:rPr>
                <w:b/>
                <w:bCs/>
              </w:rPr>
              <w:t>Phase</w:t>
            </w:r>
          </w:p>
        </w:tc>
        <w:tc>
          <w:tcPr>
            <w:tcW w:w="2479" w:type="dxa"/>
          </w:tcPr>
          <w:p>
            <w:pPr>
              <w:jc w:val="both"/>
            </w:pPr>
            <w:r>
              <w:rPr>
                <w:b/>
                <w:bCs/>
              </w:rPr>
              <w:t xml:space="preserve">Boutiques max estimées</w:t>
            </w:r>
          </w:p>
        </w:tc>
        <w:tc>
          <w:tcPr>
            <w:tcW w:w="2479" w:type="dxa"/>
          </w:tcPr>
          <w:p>
            <w:pPr>
              <w:jc w:val="both"/>
            </w:pPr>
            <w:r>
              <w:rPr>
                <w:b/>
                <w:bCs/>
              </w:rPr>
              <w:t xml:space="preserve">Utilisateurs concurrents max</w:t>
            </w:r>
          </w:p>
        </w:tc>
        <w:tc>
          <w:tcPr>
            <w:tcW w:w="3480" w:type="dxa"/>
          </w:tcPr>
          <w:p>
            <w:pPr>
              <w:jc w:val="both"/>
            </w:pPr>
            <w:r>
              <w:rPr>
                <w:b/>
                <w:bCs/>
              </w:rPr>
              <w:t xml:space="preserve">Composant limitant</w:t>
            </w:r>
          </w:p>
        </w:tc>
      </w:tr>
      <w:tr>
        <w:tc>
          <w:tcPr>
            <w:tcW w:w="1200" w:type="dxa"/>
          </w:tcPr>
          <w:p>
            <w:pPr>
              <w:jc w:val="both"/>
            </w:pPr>
            <w:r>
              <w:rPr>
                <w:b/>
                <w:bCs/>
              </w:rPr>
              <w:t>A</w:t>
            </w:r>
          </w:p>
        </w:tc>
        <w:tc>
          <w:tcPr>
            <w:tcW w:w="2479" w:type="dxa"/>
          </w:tcPr>
          <w:p>
            <w:pPr>
              <w:jc w:val="both"/>
            </w:pPr>
            <w:r>
              <w:t xml:space="preserve">~200 boutiques</w:t>
            </w:r>
          </w:p>
        </w:tc>
        <w:tc>
          <w:tcPr>
            <w:tcW w:w="2479" w:type="dxa"/>
          </w:tcPr>
          <w:p>
            <w:pPr>
              <w:jc w:val="both"/>
            </w:pPr>
            <w:r>
              <w:t xml:space="preserve">~300 sessions simultanées</w:t>
            </w:r>
          </w:p>
        </w:tc>
        <w:tc>
          <w:tcPr>
            <w:tcW w:w="3480" w:type="dxa"/>
          </w:tcPr>
          <w:p>
            <w:pPr>
              <w:jc w:val="both"/>
            </w:pPr>
            <w:r>
              <w:t xml:space="preserve">CPU SRV-01 (PHP-FPM + Horizon) — isolation Redis en premier levier</w:t>
            </w:r>
          </w:p>
        </w:tc>
      </w:tr>
      <w:tr>
        <w:tc>
          <w:tcPr>
            <w:tcW w:w="1200" w:type="dxa"/>
          </w:tcPr>
          <w:p>
            <w:pPr>
              <w:jc w:val="both"/>
            </w:pPr>
            <w:r>
              <w:rPr>
                <w:b/>
                <w:bCs/>
              </w:rPr>
              <w:t>B</w:t>
            </w:r>
          </w:p>
        </w:tc>
        <w:tc>
          <w:tcPr>
            <w:tcW w:w="2479" w:type="dxa"/>
          </w:tcPr>
          <w:p>
            <w:pPr>
              <w:jc w:val="both"/>
            </w:pPr>
            <w:r>
              <w:t xml:space="preserve">~800 boutiques</w:t>
            </w:r>
          </w:p>
        </w:tc>
        <w:tc>
          <w:tcPr>
            <w:tcW w:w="2479" w:type="dxa"/>
          </w:tcPr>
          <w:p>
            <w:pPr>
              <w:jc w:val="both"/>
            </w:pPr>
            <w:r>
              <w:t xml:space="preserve">~1 200 sessions simultanées</w:t>
            </w:r>
          </w:p>
        </w:tc>
        <w:tc>
          <w:tcPr>
            <w:tcW w:w="3480" w:type="dxa"/>
          </w:tcPr>
          <w:p>
            <w:pPr>
              <w:jc w:val="both"/>
            </w:pPr>
            <w:r>
              <w:t xml:space="preserve">I/O SRV-02 PostgreSQL Primary — ajout replica lecture</w:t>
            </w:r>
          </w:p>
        </w:tc>
      </w:tr>
      <w:tr>
        <w:tc>
          <w:tcPr>
            <w:tcW w:w="1200" w:type="dxa"/>
          </w:tcPr>
          <w:p>
            <w:pPr>
              <w:jc w:val="both"/>
            </w:pPr>
            <w:r>
              <w:rPr>
                <w:b/>
                <w:bCs/>
              </w:rPr>
              <w:t>C</w:t>
            </w:r>
          </w:p>
        </w:tc>
        <w:tc>
          <w:tcPr>
            <w:tcW w:w="2479" w:type="dxa"/>
          </w:tcPr>
          <w:p>
            <w:pPr>
              <w:jc w:val="both"/>
            </w:pPr>
            <w:r>
              <w:t xml:space="preserve">2 000+ boutiques</w:t>
            </w:r>
          </w:p>
        </w:tc>
        <w:tc>
          <w:tcPr>
            <w:tcW w:w="2479" w:type="dxa"/>
          </w:tcPr>
          <w:p>
            <w:pPr>
              <w:jc w:val="both"/>
            </w:pPr>
            <w:r>
              <w:t xml:space="preserve">5 000+ sessions simultanées</w:t>
            </w:r>
          </w:p>
        </w:tc>
        <w:tc>
          <w:tcPr>
            <w:tcW w:w="3480" w:type="dxa"/>
          </w:tcPr>
          <w:p>
            <w:pPr>
              <w:jc w:val="both"/>
            </w:pPr>
            <w:r>
              <w:t xml:space="preserve">Dimensionnement géographique / latence réseau</w:t>
            </w:r>
          </w:p>
        </w:tc>
      </w:tr>
    </w:tbl>
    <w:p>
      <w:r>
        <w:br w:type="page"/>
      </w:r>
    </w:p>
    <w:p>
      <w:pPr>
        <w:pStyle w:val="Titre1"/>
        <w:jc w:val="both"/>
      </w:pPr>
      <w:r>
        <w:t>CONCLUSION</w:t>
      </w:r>
    </w:p>
    <w:p>
      <w:pPr>
        <w:jc w:val="both"/>
      </w:pPr>
    </w:p>
    <w:p>
      <w:pPr>
        <w:jc w:val="both"/>
      </w:pPr>
      <w:r>
        <w:t>Le Document d’Architecture Infrastructure présenté définit une plateforme POS multi-tenant évolutive, dimensionnée pour supporter simultanément les trois versions du produit BY+ dès le lancement sur 3 serveurs dédiés.</w:t>
      </w:r>
    </w:p>
    <w:p>
      <w:pPr>
        <w:jc w:val="both"/>
      </w:pPr>
    </w:p>
    <w:p>
      <w:pPr>
        <w:jc w:val="both"/>
      </w:pPr>
      <w:r>
        <w:t>La consolidation des composants applicatifs sur SRV-01 est un choix économique et opérationnel justifié pour la phase de lancement : elle réduit les coûts d’infrastructure tout en préservant un chemin d’isolation progressif clair, déclenché par des indicateurs objectifs mesurables dans Zabbix. La base de données conserve son isolation physique sur SRV-02, ce qui constitue le seul impératif non négociable de l’architecture.</w:t>
      </w:r>
    </w:p>
    <w:p>
      <w:pPr>
        <w:jc w:val="both"/>
      </w:pPr>
    </w:p>
    <w:p>
      <w:pPr>
        <w:jc w:val="both"/>
      </w:pPr>
      <w:r>
        <w:t>La stratégie d’évolution en trois phases (A → B → C) permet de maîtriser les coûts dans les premières étapes tout en atteignant une architecture pleinement haute disponibilité (99,9 % de SLA) en Phase C, sans rupture technologique ni refonte applicative majeure.</w:t>
      </w:r>
    </w:p>
    <w:p>
      <w:pPr>
        <w:jc w:val="both"/>
      </w:pPr>
    </w:p>
    <w:p>
      <w:pPr>
        <w:jc w:val="both"/>
      </w:pPr>
      <w:r>
        <w:t>Il est recommandé de réviser les hypothèses de dimensionnement de la section 0.2 à 3 mois post-lancement sur la base des données réelles de production, et d’anticiper la transition vers la Phase B dès que la CPU de SRV-01 dépasse 70 % en charge soutenue.</w:t>
      </w:r>
    </w:p>
    <w:p>
      <w:pPr>
        <w:jc w:val="both"/>
      </w:pPr>
    </w:p>
    <w:p>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tr>
        <w:trPr>
          <w:tblHeader/>
        </w:trPr>
        <w:tc>
          <w:tcPr>
            <w:tcW w:w="3212" w:type="dxa"/>
          </w:tcPr>
          <w:p>
            <w:pPr>
              <w:jc w:val="both"/>
            </w:pPr>
            <w:r>
              <w:rPr>
                <w:b/>
                <w:bCs/>
              </w:rPr>
              <w:t xml:space="preserve">Rédigé par</w:t>
            </w:r>
          </w:p>
        </w:tc>
        <w:tc>
          <w:tcPr>
            <w:tcW w:w="3213" w:type="dxa"/>
          </w:tcPr>
          <w:p>
            <w:pPr>
              <w:jc w:val="both"/>
            </w:pPr>
            <w:r>
              <w:rPr>
                <w:b/>
                <w:bCs/>
              </w:rPr>
              <w:t xml:space="preserve">Validé par</w:t>
            </w:r>
          </w:p>
        </w:tc>
        <w:tc>
          <w:tcPr>
            <w:tcW w:w="3213" w:type="dxa"/>
          </w:tcPr>
          <w:p>
            <w:pPr>
              <w:jc w:val="both"/>
            </w:pPr>
            <w:r>
              <w:rPr>
                <w:b/>
                <w:bCs/>
              </w:rPr>
              <w:t xml:space="preserve">Approuvé par (DSI)</w:t>
            </w:r>
          </w:p>
        </w:tc>
      </w:tr>
      <w:tr>
        <w:tc>
          <w:tcPr>
            <w:tcW w:w="3212" w:type="dxa"/>
          </w:tcPr>
          <w:p>
            <w:pPr>
              <w:jc w:val="both"/>
            </w:pPr>
            <w:r>
              <w:t>Nom : ________________________</w:t>
            </w:r>
          </w:p>
          <w:p>
            <w:pPr>
              <w:jc w:val="both"/>
            </w:pPr>
            <w:r>
              <w:t>Fonction : __________________</w:t>
            </w:r>
          </w:p>
          <w:p>
            <w:pPr>
              <w:jc w:val="both"/>
            </w:pPr>
            <w:r>
              <w:t>Date : ______________________</w:t>
            </w:r>
          </w:p>
          <w:p>
            <w:pPr>
              <w:jc w:val="both"/>
            </w:pPr>
            <w:r>
              <w:t/>
            </w:r>
          </w:p>
          <w:p>
            <w:pPr>
              <w:jc w:val="both"/>
            </w:pPr>
            <w:r>
              <w:t>Signature :</w:t>
            </w:r>
          </w:p>
        </w:tc>
        <w:tc>
          <w:tcPr>
            <w:tcW w:w="3213" w:type="dxa"/>
          </w:tcPr>
          <w:p>
            <w:pPr>
              <w:jc w:val="both"/>
            </w:pPr>
            <w:r>
              <w:t>Nom : ________________________</w:t>
            </w:r>
          </w:p>
          <w:p>
            <w:pPr>
              <w:jc w:val="both"/>
            </w:pPr>
            <w:r>
              <w:t>Fonction : __________________</w:t>
            </w:r>
          </w:p>
          <w:p>
            <w:pPr>
              <w:jc w:val="both"/>
            </w:pPr>
            <w:r>
              <w:t>Date : ______________________</w:t>
            </w:r>
          </w:p>
          <w:p>
            <w:pPr>
              <w:jc w:val="both"/>
            </w:pPr>
            <w:r>
              <w:t/>
            </w:r>
          </w:p>
          <w:p>
            <w:pPr>
              <w:jc w:val="both"/>
            </w:pPr>
            <w:r>
              <w:t>Signature :</w:t>
            </w:r>
          </w:p>
        </w:tc>
        <w:tc>
          <w:tcPr>
            <w:tcW w:w="3213" w:type="dxa"/>
          </w:tcPr>
          <w:p>
            <w:pPr>
              <w:jc w:val="both"/>
            </w:pPr>
            <w:r>
              <w:t>Nom : ________________________</w:t>
            </w:r>
          </w:p>
          <w:p>
            <w:pPr>
              <w:jc w:val="both"/>
            </w:pPr>
            <w:r>
              <w:t>Fonction : __________________</w:t>
            </w:r>
          </w:p>
          <w:p>
            <w:pPr>
              <w:jc w:val="both"/>
            </w:pPr>
            <w:r>
              <w:t>Date : ______________________</w:t>
            </w:r>
          </w:p>
          <w:p>
            <w:pPr>
              <w:jc w:val="both"/>
            </w:pPr>
            <w:r>
              <w:t/>
            </w:r>
          </w:p>
          <w:p>
            <w:pPr>
              <w:jc w:val="both"/>
            </w:pPr>
            <w:r>
              <w:t>Signature :</w:t>
            </w:r>
          </w:p>
        </w:tc>
      </w:tr>
    </w:tbl>
    <w:sectPr>
      <w:headerReference w:type="default" r:id="rId7"/>
      <w:footerReference w:type="default" r:id="rId8"/>
      <w:pgSz w:w="11906" w:h="16838"/>
      <w:pgMar w:top="1417" w:right="1417" w:bottom="1417" w:left="1417" w:header="708" w:footer="708" w:gutter="0"/>
      <w:cols w:space="708"/>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5"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6"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4"/>
    <w:lvlOverride w:ilvl="0">
      <w:startOverride w:val="1"/>
    </w:lvlOverride>
  </w:num>
  <w:num w:numId="2" w16cid:durableId="1406680069">
    <w:abstractNumId w:val="7"/>
    <w:lvlOverride w:ilvl="0">
      <w:startOverride w:val="1"/>
    </w:lvlOverride>
  </w:num>
  <w:num w:numId="3" w16cid:durableId="1280380282">
    <w:abstractNumId w:val="2"/>
  </w:num>
  <w:num w:numId="4" w16cid:durableId="254821496">
    <w:abstractNumId w:val="6"/>
  </w:num>
  <w:num w:numId="5" w16cid:durableId="173765129">
    <w:abstractNumId w:val="1"/>
  </w:num>
  <w:num w:numId="6" w16cid:durableId="443040378">
    <w:abstractNumId w:val="5"/>
    <w:lvlOverride w:ilvl="0">
      <w:startOverride w:val="1"/>
    </w:lvlOverride>
  </w:num>
  <w:num w:numId="7" w16cid:durableId="1796413697">
    <w:abstractNumId w:val="0"/>
    <w:lvlOverride w:ilvl="0">
      <w:startOverride w:val="1"/>
    </w:lvlOverride>
  </w:num>
  <w:num w:numId="8" w16cid:durableId="49574664">
    <w:abstractNumId w:val="3"/>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 Type="http://schemas.openxmlformats.org/officeDocument/2006/relationships/image" Target="media/image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2026-04-21T21:16:48.094Z</dcterms:created>
  <dcterms:modified xsi:type="dcterms:W3CDTF">2026-04-21T21:16:48.095Z</dcterms:modified>
</cp:coreProperties>
</file>

<file path=docProps/custom.xml><?xml version="1.0" encoding="utf-8"?>
<Properties xmlns="http://schemas.openxmlformats.org/officeDocument/2006/custom-properties" xmlns:vt="http://schemas.openxmlformats.org/officeDocument/2006/docPropsVTypes"/>
</file>