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re1"/>
        <w:bidi w:val="0"/>
        <w:spacing w:before="240" w:after="120"/>
        <w:jc w:val="left"/>
        <w:rPr/>
      </w:pPr>
      <w:r>
        <w:rPr/>
        <w:t>Règles d'Utilisation des Serveurs chez Sensio Labs</w:t>
      </w:r>
    </w:p>
    <w:p>
      <w:pPr>
        <w:pStyle w:val="Titre2"/>
        <w:bidi w:val="0"/>
        <w:jc w:val="left"/>
        <w:rPr/>
      </w:pPr>
      <w:r>
        <w:rPr/>
        <w:t>Introduction</w:t>
      </w:r>
    </w:p>
    <w:p>
      <w:pPr>
        <w:pStyle w:val="Corpsdetexte"/>
        <w:bidi w:val="0"/>
        <w:spacing w:lineRule="auto" w:line="276" w:before="0" w:after="140"/>
        <w:jc w:val="left"/>
        <w:rPr/>
      </w:pPr>
      <w:r>
        <w:rPr/>
        <w:t>Les serveurs de Sensio Labs sont des éléments cruciaux de l'infrastructure informatique de l'entreprise, hébergeant des applications, des bases de données et des services essentiels. Les règles d'utilisation des serveurs sont établies pour garantir leur sécurité, leur disponibilité et leur performance. Ces règles s'appliquent à tous les employés, consultants et prestataires utilisant ou gérant les serveurs de Sensio Labs.</w:t>
      </w:r>
    </w:p>
    <w:p>
      <w:pPr>
        <w:pStyle w:val="Lignehorizontale"/>
        <w:suppressLineNumbers/>
        <w:pBdr>
          <w:bottom w:val="double" w:sz="2" w:space="0" w:color="808080"/>
        </w:pBdr>
        <w:bidi w:val="0"/>
        <w:spacing w:before="0" w:after="283"/>
        <w:jc w:val="left"/>
        <w:rPr/>
      </w:pPr>
      <w:r>
        <w:rPr/>
      </w:r>
    </w:p>
    <w:p>
      <w:pPr>
        <w:pStyle w:val="Titre2"/>
        <w:bidi w:val="0"/>
        <w:jc w:val="left"/>
        <w:rPr/>
      </w:pPr>
      <w:r>
        <w:rPr/>
        <w:t>Objectifs des Règles d'Utilisation des Serveurs</w:t>
      </w:r>
    </w:p>
    <w:p>
      <w:pPr>
        <w:pStyle w:val="Corpsdetexte"/>
        <w:bidi w:val="0"/>
        <w:spacing w:lineRule="auto" w:line="276" w:before="0" w:after="140"/>
        <w:jc w:val="left"/>
        <w:rPr/>
      </w:pPr>
      <w:r>
        <w:rPr/>
        <w:t>Les objectifs principaux des règles d'utilisation des serveurs sont :</w:t>
      </w:r>
    </w:p>
    <w:p>
      <w:pPr>
        <w:pStyle w:val="Corpsdetexte"/>
        <w:numPr>
          <w:ilvl w:val="0"/>
          <w:numId w:val="1"/>
        </w:numPr>
        <w:tabs>
          <w:tab w:val="clear" w:pos="709"/>
          <w:tab w:val="left" w:pos="709" w:leader="none"/>
        </w:tabs>
        <w:bidi w:val="0"/>
        <w:ind w:left="709" w:hanging="283"/>
        <w:jc w:val="left"/>
        <w:rPr/>
      </w:pPr>
      <w:r>
        <w:rPr>
          <w:rStyle w:val="Accentuationforte"/>
        </w:rPr>
        <w:t>Sécurité des Systèmes</w:t>
      </w:r>
      <w:r>
        <w:rPr/>
        <w:t xml:space="preserve"> :</w:t>
      </w:r>
    </w:p>
    <w:p>
      <w:pPr>
        <w:pStyle w:val="Corpsdetexte"/>
        <w:numPr>
          <w:ilvl w:val="1"/>
          <w:numId w:val="1"/>
        </w:numPr>
        <w:tabs>
          <w:tab w:val="clear" w:pos="709"/>
          <w:tab w:val="left" w:pos="1418" w:leader="none"/>
        </w:tabs>
        <w:bidi w:val="0"/>
        <w:spacing w:before="0" w:after="0"/>
        <w:ind w:left="1418" w:hanging="283"/>
        <w:jc w:val="left"/>
        <w:rPr/>
      </w:pPr>
      <w:r>
        <w:rPr/>
        <w:t>Protéger les serveurs contre les accès non autorisés, les attaques et les vulnérabilités.</w:t>
      </w:r>
    </w:p>
    <w:p>
      <w:pPr>
        <w:pStyle w:val="Corpsdetexte"/>
        <w:numPr>
          <w:ilvl w:val="0"/>
          <w:numId w:val="1"/>
        </w:numPr>
        <w:tabs>
          <w:tab w:val="clear" w:pos="709"/>
          <w:tab w:val="left" w:pos="709" w:leader="none"/>
        </w:tabs>
        <w:bidi w:val="0"/>
        <w:ind w:left="709" w:hanging="283"/>
        <w:jc w:val="left"/>
        <w:rPr/>
      </w:pPr>
      <w:r>
        <w:rPr>
          <w:rStyle w:val="Accentuationforte"/>
        </w:rPr>
        <w:t>Disponibilité et Performance</w:t>
      </w:r>
      <w:r>
        <w:rPr/>
        <w:t xml:space="preserve"> :</w:t>
      </w:r>
    </w:p>
    <w:p>
      <w:pPr>
        <w:pStyle w:val="Corpsdetexte"/>
        <w:numPr>
          <w:ilvl w:val="1"/>
          <w:numId w:val="1"/>
        </w:numPr>
        <w:tabs>
          <w:tab w:val="clear" w:pos="709"/>
          <w:tab w:val="left" w:pos="1418" w:leader="none"/>
        </w:tabs>
        <w:bidi w:val="0"/>
        <w:spacing w:before="0" w:after="0"/>
        <w:ind w:left="1418" w:hanging="283"/>
        <w:jc w:val="left"/>
        <w:rPr/>
      </w:pPr>
      <w:r>
        <w:rPr/>
        <w:t>Assurer une disponibilité continue et des performances optimales des serveurs pour soutenir les opérations de l'entreprise.</w:t>
      </w:r>
    </w:p>
    <w:p>
      <w:pPr>
        <w:pStyle w:val="Corpsdetexte"/>
        <w:numPr>
          <w:ilvl w:val="0"/>
          <w:numId w:val="1"/>
        </w:numPr>
        <w:tabs>
          <w:tab w:val="clear" w:pos="709"/>
          <w:tab w:val="left" w:pos="709" w:leader="none"/>
        </w:tabs>
        <w:bidi w:val="0"/>
        <w:ind w:left="709" w:hanging="283"/>
        <w:jc w:val="left"/>
        <w:rPr/>
      </w:pPr>
      <w:r>
        <w:rPr>
          <w:rStyle w:val="Accentuationforte"/>
        </w:rPr>
        <w:t>Gestion Efficace des Ressources</w:t>
      </w:r>
      <w:r>
        <w:rPr/>
        <w:t xml:space="preserve"> :</w:t>
      </w:r>
    </w:p>
    <w:p>
      <w:pPr>
        <w:pStyle w:val="Corpsdetexte"/>
        <w:numPr>
          <w:ilvl w:val="1"/>
          <w:numId w:val="1"/>
        </w:numPr>
        <w:tabs>
          <w:tab w:val="clear" w:pos="709"/>
          <w:tab w:val="left" w:pos="1418" w:leader="none"/>
        </w:tabs>
        <w:bidi w:val="0"/>
        <w:spacing w:before="0" w:after="0"/>
        <w:ind w:left="1418" w:hanging="283"/>
        <w:jc w:val="left"/>
        <w:rPr/>
      </w:pPr>
      <w:r>
        <w:rPr/>
        <w:t>Optimiser l'utilisation et la gestion des ressources serveur pour répondre aux besoins opérationnels.</w:t>
      </w:r>
    </w:p>
    <w:p>
      <w:pPr>
        <w:pStyle w:val="Corpsdetexte"/>
        <w:numPr>
          <w:ilvl w:val="0"/>
          <w:numId w:val="1"/>
        </w:numPr>
        <w:tabs>
          <w:tab w:val="clear" w:pos="709"/>
          <w:tab w:val="left" w:pos="709" w:leader="none"/>
        </w:tabs>
        <w:bidi w:val="0"/>
        <w:ind w:left="709" w:hanging="283"/>
        <w:jc w:val="left"/>
        <w:rPr/>
      </w:pPr>
      <w:r>
        <w:rPr>
          <w:rStyle w:val="Accentuationforte"/>
        </w:rPr>
        <w:t>Conformité</w:t>
      </w:r>
      <w:r>
        <w:rPr/>
        <w:t xml:space="preserve"> :</w:t>
      </w:r>
    </w:p>
    <w:p>
      <w:pPr>
        <w:pStyle w:val="Corpsdetexte"/>
        <w:numPr>
          <w:ilvl w:val="1"/>
          <w:numId w:val="1"/>
        </w:numPr>
        <w:tabs>
          <w:tab w:val="clear" w:pos="709"/>
          <w:tab w:val="left" w:pos="1418" w:leader="none"/>
        </w:tabs>
        <w:bidi w:val="0"/>
        <w:ind w:left="1418" w:hanging="283"/>
        <w:jc w:val="left"/>
        <w:rPr/>
      </w:pPr>
      <w:r>
        <w:rPr/>
        <w:t>Respecter les réglementations et les normes de l'industrie en matière de sécurité et de gestion des systèmes d'information.</w:t>
      </w:r>
    </w:p>
    <w:p>
      <w:pPr>
        <w:pStyle w:val="Lignehorizontale"/>
        <w:bidi w:val="0"/>
        <w:jc w:val="left"/>
        <w:rPr/>
      </w:pPr>
      <w:r>
        <w:rPr/>
      </w:r>
    </w:p>
    <w:p>
      <w:pPr>
        <w:pStyle w:val="Titre2"/>
        <w:bidi w:val="0"/>
        <w:jc w:val="left"/>
        <w:rPr/>
      </w:pPr>
      <w:r>
        <w:rPr/>
        <w:t>Responsabilités</w:t>
      </w:r>
    </w:p>
    <w:p>
      <w:pPr>
        <w:pStyle w:val="Titre3"/>
        <w:bidi w:val="0"/>
        <w:jc w:val="left"/>
        <w:rPr/>
      </w:pPr>
      <w:r>
        <w:rPr/>
        <w:t>Administrateurs Systèmes</w:t>
      </w:r>
    </w:p>
    <w:p>
      <w:pPr>
        <w:pStyle w:val="Corpsdetexte"/>
        <w:numPr>
          <w:ilvl w:val="0"/>
          <w:numId w:val="2"/>
        </w:numPr>
        <w:tabs>
          <w:tab w:val="clear" w:pos="709"/>
          <w:tab w:val="left" w:pos="709" w:leader="none"/>
        </w:tabs>
        <w:bidi w:val="0"/>
        <w:spacing w:before="0" w:after="0"/>
        <w:ind w:left="709" w:hanging="283"/>
        <w:jc w:val="left"/>
        <w:rPr/>
      </w:pPr>
      <w:r>
        <w:rPr/>
        <w:t>Mettre en œuvre, surveiller et maintenir les serveurs conformément aux politiques de sécurité et de gestion définies par la DSI.</w:t>
      </w:r>
    </w:p>
    <w:p>
      <w:pPr>
        <w:pStyle w:val="Corpsdetexte"/>
        <w:numPr>
          <w:ilvl w:val="0"/>
          <w:numId w:val="2"/>
        </w:numPr>
        <w:tabs>
          <w:tab w:val="clear" w:pos="709"/>
          <w:tab w:val="left" w:pos="709" w:leader="none"/>
        </w:tabs>
        <w:bidi w:val="0"/>
        <w:ind w:left="709" w:hanging="283"/>
        <w:jc w:val="left"/>
        <w:rPr/>
      </w:pPr>
      <w:r>
        <w:rPr/>
        <w:t>Gérer les accès, les configurations et les mises à jour des serveurs.</w:t>
      </w:r>
    </w:p>
    <w:p>
      <w:pPr>
        <w:pStyle w:val="Titre3"/>
        <w:bidi w:val="0"/>
        <w:jc w:val="left"/>
        <w:rPr/>
      </w:pPr>
      <w:r>
        <w:rPr/>
        <w:t>Utilisateurs Autorisés</w:t>
      </w:r>
    </w:p>
    <w:p>
      <w:pPr>
        <w:pStyle w:val="Corpsdetexte"/>
        <w:numPr>
          <w:ilvl w:val="0"/>
          <w:numId w:val="3"/>
        </w:numPr>
        <w:tabs>
          <w:tab w:val="clear" w:pos="709"/>
          <w:tab w:val="left" w:pos="709" w:leader="none"/>
        </w:tabs>
        <w:bidi w:val="0"/>
        <w:spacing w:before="0" w:after="0"/>
        <w:ind w:left="709" w:hanging="283"/>
        <w:jc w:val="left"/>
        <w:rPr/>
      </w:pPr>
      <w:r>
        <w:rPr/>
        <w:t>Accéder aux serveurs uniquement dans le cadre de leurs fonctions et en respectant les politiques de sécurité.</w:t>
      </w:r>
    </w:p>
    <w:p>
      <w:pPr>
        <w:pStyle w:val="Corpsdetexte"/>
        <w:numPr>
          <w:ilvl w:val="0"/>
          <w:numId w:val="3"/>
        </w:numPr>
        <w:tabs>
          <w:tab w:val="clear" w:pos="709"/>
          <w:tab w:val="left" w:pos="709" w:leader="none"/>
        </w:tabs>
        <w:bidi w:val="0"/>
        <w:ind w:left="709" w:hanging="283"/>
        <w:jc w:val="left"/>
        <w:rPr/>
      </w:pPr>
      <w:r>
        <w:rPr/>
        <w:t>Signaler tout incident ou comportement suspect aux administrateurs systèmes.</w:t>
      </w:r>
    </w:p>
    <w:p>
      <w:pPr>
        <w:pStyle w:val="Titre3"/>
        <w:bidi w:val="0"/>
        <w:jc w:val="left"/>
        <w:rPr/>
      </w:pPr>
      <w:r>
        <w:rPr/>
        <w:t>Direction de la DSI</w:t>
      </w:r>
    </w:p>
    <w:p>
      <w:pPr>
        <w:pStyle w:val="Corpsdetexte"/>
        <w:numPr>
          <w:ilvl w:val="0"/>
          <w:numId w:val="4"/>
        </w:numPr>
        <w:tabs>
          <w:tab w:val="clear" w:pos="709"/>
          <w:tab w:val="left" w:pos="709" w:leader="none"/>
        </w:tabs>
        <w:bidi w:val="0"/>
        <w:spacing w:before="0" w:after="0"/>
        <w:ind w:left="709" w:hanging="283"/>
        <w:jc w:val="left"/>
        <w:rPr/>
      </w:pPr>
      <w:r>
        <w:rPr/>
        <w:t>Élaborer et mettre à jour les politiques d'utilisation des serveurs.</w:t>
      </w:r>
    </w:p>
    <w:p>
      <w:pPr>
        <w:pStyle w:val="Corpsdetexte"/>
        <w:numPr>
          <w:ilvl w:val="0"/>
          <w:numId w:val="4"/>
        </w:numPr>
        <w:tabs>
          <w:tab w:val="clear" w:pos="709"/>
          <w:tab w:val="left" w:pos="709" w:leader="none"/>
        </w:tabs>
        <w:bidi w:val="0"/>
        <w:ind w:left="709" w:hanging="283"/>
        <w:jc w:val="left"/>
        <w:rPr/>
      </w:pPr>
      <w:r>
        <w:rPr/>
        <w:t>Approuver les accès et les configurations spéciales en fonction des besoins opérationnels.</w:t>
      </w:r>
    </w:p>
    <w:p>
      <w:pPr>
        <w:pStyle w:val="Lignehorizontale"/>
        <w:bidi w:val="0"/>
        <w:jc w:val="left"/>
        <w:rPr/>
      </w:pPr>
      <w:r>
        <w:rPr/>
      </w:r>
    </w:p>
    <w:p>
      <w:pPr>
        <w:pStyle w:val="Titre2"/>
        <w:bidi w:val="0"/>
        <w:jc w:val="left"/>
        <w:rPr/>
      </w:pPr>
      <w:r>
        <w:rPr/>
        <w:t>Politiques et Directives</w:t>
      </w:r>
    </w:p>
    <w:p>
      <w:pPr>
        <w:pStyle w:val="Titre3"/>
        <w:bidi w:val="0"/>
        <w:jc w:val="left"/>
        <w:rPr/>
      </w:pPr>
      <w:r>
        <w:rPr/>
        <w:t>1. Accès aux Serveurs</w:t>
      </w:r>
    </w:p>
    <w:p>
      <w:pPr>
        <w:pStyle w:val="Titre4"/>
        <w:bidi w:val="0"/>
        <w:jc w:val="left"/>
        <w:rPr/>
      </w:pPr>
      <w:r>
        <w:rPr/>
        <w:t>Authentification et Autorisation</w:t>
      </w:r>
    </w:p>
    <w:p>
      <w:pPr>
        <w:pStyle w:val="Corpsdetexte"/>
        <w:numPr>
          <w:ilvl w:val="0"/>
          <w:numId w:val="5"/>
        </w:numPr>
        <w:tabs>
          <w:tab w:val="clear" w:pos="709"/>
          <w:tab w:val="left" w:pos="709" w:leader="none"/>
        </w:tabs>
        <w:bidi w:val="0"/>
        <w:spacing w:before="0" w:after="0"/>
        <w:ind w:left="709" w:hanging="283"/>
        <w:jc w:val="left"/>
        <w:rPr/>
      </w:pPr>
      <w:r>
        <w:rPr/>
        <w:t>Tous les accès aux serveurs doivent être authentifiés à l'aide de méthodes sécurisées (par exemple, authentification multi-facteurs).</w:t>
      </w:r>
    </w:p>
    <w:p>
      <w:pPr>
        <w:pStyle w:val="Corpsdetexte"/>
        <w:numPr>
          <w:ilvl w:val="0"/>
          <w:numId w:val="5"/>
        </w:numPr>
        <w:tabs>
          <w:tab w:val="clear" w:pos="709"/>
          <w:tab w:val="left" w:pos="709" w:leader="none"/>
        </w:tabs>
        <w:bidi w:val="0"/>
        <w:ind w:left="709" w:hanging="283"/>
        <w:jc w:val="left"/>
        <w:rPr/>
      </w:pPr>
      <w:r>
        <w:rPr/>
        <w:t>Les droits d'accès sont accordés en fonction des rôles et des responsabilités des utilisateurs et doivent être approuvés par la DSI.</w:t>
      </w:r>
    </w:p>
    <w:p>
      <w:pPr>
        <w:pStyle w:val="Titre4"/>
        <w:bidi w:val="0"/>
        <w:jc w:val="left"/>
        <w:rPr/>
      </w:pPr>
      <w:r>
        <w:rPr/>
        <w:t>Contrôle des Accès</w:t>
      </w:r>
    </w:p>
    <w:p>
      <w:pPr>
        <w:pStyle w:val="Corpsdetexte"/>
        <w:numPr>
          <w:ilvl w:val="0"/>
          <w:numId w:val="6"/>
        </w:numPr>
        <w:tabs>
          <w:tab w:val="clear" w:pos="709"/>
          <w:tab w:val="left" w:pos="709" w:leader="none"/>
        </w:tabs>
        <w:bidi w:val="0"/>
        <w:ind w:left="709" w:hanging="283"/>
        <w:jc w:val="left"/>
        <w:rPr/>
      </w:pPr>
      <w:r>
        <w:rPr/>
        <w:t>Les accès aux serveurs sont limités aux utilisateurs autorisés uniquement. Les comptes administratifs doivent être strictement contrôlés et surveillés.</w:t>
      </w:r>
    </w:p>
    <w:p>
      <w:pPr>
        <w:pStyle w:val="Titre3"/>
        <w:bidi w:val="0"/>
        <w:jc w:val="left"/>
        <w:rPr/>
      </w:pPr>
      <w:r>
        <w:rPr/>
        <w:t>2. Configuration et Maintenance</w:t>
      </w:r>
    </w:p>
    <w:p>
      <w:pPr>
        <w:pStyle w:val="Titre4"/>
        <w:bidi w:val="0"/>
        <w:jc w:val="left"/>
        <w:rPr/>
      </w:pPr>
      <w:r>
        <w:rPr/>
        <w:t>Standardisation des Configurations</w:t>
      </w:r>
    </w:p>
    <w:p>
      <w:pPr>
        <w:pStyle w:val="Corpsdetexte"/>
        <w:numPr>
          <w:ilvl w:val="0"/>
          <w:numId w:val="7"/>
        </w:numPr>
        <w:tabs>
          <w:tab w:val="clear" w:pos="709"/>
          <w:tab w:val="left" w:pos="709" w:leader="none"/>
        </w:tabs>
        <w:bidi w:val="0"/>
        <w:spacing w:before="0" w:after="0"/>
        <w:ind w:left="709" w:hanging="283"/>
        <w:jc w:val="left"/>
        <w:rPr/>
      </w:pPr>
      <w:r>
        <w:rPr/>
        <w:t>Les configurations des serveurs doivent suivre les standards définis par la DSI pour garantir la sécurité et la compatibilité.</w:t>
      </w:r>
    </w:p>
    <w:p>
      <w:pPr>
        <w:pStyle w:val="Corpsdetexte"/>
        <w:numPr>
          <w:ilvl w:val="0"/>
          <w:numId w:val="7"/>
        </w:numPr>
        <w:tabs>
          <w:tab w:val="clear" w:pos="709"/>
          <w:tab w:val="left" w:pos="709" w:leader="none"/>
        </w:tabs>
        <w:bidi w:val="0"/>
        <w:ind w:left="709" w:hanging="283"/>
        <w:jc w:val="left"/>
        <w:rPr/>
      </w:pPr>
      <w:r>
        <w:rPr/>
        <w:t>Les configurations doivent être documentées et mises à jour régulièrement.</w:t>
      </w:r>
    </w:p>
    <w:p>
      <w:pPr>
        <w:pStyle w:val="Titre4"/>
        <w:bidi w:val="0"/>
        <w:jc w:val="left"/>
        <w:rPr/>
      </w:pPr>
      <w:r>
        <w:rPr/>
        <w:t>Mises à Jour et Correctifs</w:t>
      </w:r>
    </w:p>
    <w:p>
      <w:pPr>
        <w:pStyle w:val="Corpsdetexte"/>
        <w:numPr>
          <w:ilvl w:val="0"/>
          <w:numId w:val="8"/>
        </w:numPr>
        <w:tabs>
          <w:tab w:val="clear" w:pos="709"/>
          <w:tab w:val="left" w:pos="709" w:leader="none"/>
        </w:tabs>
        <w:bidi w:val="0"/>
        <w:spacing w:before="0" w:after="0"/>
        <w:ind w:left="709" w:hanging="283"/>
        <w:jc w:val="left"/>
        <w:rPr/>
      </w:pPr>
      <w:r>
        <w:rPr/>
        <w:t>Appliquer régulièrement les mises à jour de sécurité et les correctifs logiciels pour protéger les serveurs contre les vulnérabilités.</w:t>
      </w:r>
    </w:p>
    <w:p>
      <w:pPr>
        <w:pStyle w:val="Corpsdetexte"/>
        <w:numPr>
          <w:ilvl w:val="0"/>
          <w:numId w:val="8"/>
        </w:numPr>
        <w:tabs>
          <w:tab w:val="clear" w:pos="709"/>
          <w:tab w:val="left" w:pos="709" w:leader="none"/>
        </w:tabs>
        <w:bidi w:val="0"/>
        <w:ind w:left="709" w:hanging="283"/>
        <w:jc w:val="left"/>
        <w:rPr/>
      </w:pPr>
      <w:r>
        <w:rPr/>
        <w:t>Les mises à jour critiques doivent être appliquées immédiatement après validation par les administrateurs systèmes.</w:t>
      </w:r>
    </w:p>
    <w:p>
      <w:pPr>
        <w:pStyle w:val="Titre3"/>
        <w:bidi w:val="0"/>
        <w:jc w:val="left"/>
        <w:rPr/>
      </w:pPr>
      <w:r>
        <w:rPr/>
        <w:t>3. Sécurité et Protection</w:t>
      </w:r>
    </w:p>
    <w:p>
      <w:pPr>
        <w:pStyle w:val="Titre4"/>
        <w:bidi w:val="0"/>
        <w:jc w:val="left"/>
        <w:rPr/>
      </w:pPr>
      <w:r>
        <w:rPr/>
        <w:t>Protection des Données</w:t>
      </w:r>
    </w:p>
    <w:p>
      <w:pPr>
        <w:pStyle w:val="Corpsdetexte"/>
        <w:numPr>
          <w:ilvl w:val="0"/>
          <w:numId w:val="9"/>
        </w:numPr>
        <w:tabs>
          <w:tab w:val="clear" w:pos="709"/>
          <w:tab w:val="left" w:pos="709" w:leader="none"/>
        </w:tabs>
        <w:bidi w:val="0"/>
        <w:spacing w:before="0" w:after="0"/>
        <w:ind w:left="709" w:hanging="283"/>
        <w:jc w:val="left"/>
        <w:rPr/>
      </w:pPr>
      <w:r>
        <w:rPr/>
        <w:t>Toutes les données sensibles hébergées sur les serveurs doivent être chiffrées en transit et au repos.</w:t>
      </w:r>
    </w:p>
    <w:p>
      <w:pPr>
        <w:pStyle w:val="Corpsdetexte"/>
        <w:numPr>
          <w:ilvl w:val="0"/>
          <w:numId w:val="9"/>
        </w:numPr>
        <w:tabs>
          <w:tab w:val="clear" w:pos="709"/>
          <w:tab w:val="left" w:pos="709" w:leader="none"/>
        </w:tabs>
        <w:bidi w:val="0"/>
        <w:ind w:left="709" w:hanging="283"/>
        <w:jc w:val="left"/>
        <w:rPr/>
      </w:pPr>
      <w:r>
        <w:rPr/>
        <w:t>Les sauvegardes régulières doivent être effectuées et stockées en sécurité pour garantir la récupération des données en cas de défaillance.</w:t>
      </w:r>
    </w:p>
    <w:p>
      <w:pPr>
        <w:pStyle w:val="Titre4"/>
        <w:bidi w:val="0"/>
        <w:jc w:val="left"/>
        <w:rPr/>
      </w:pPr>
      <w:r>
        <w:rPr/>
        <w:t>Surveillance et Détection</w:t>
      </w:r>
    </w:p>
    <w:p>
      <w:pPr>
        <w:pStyle w:val="Corpsdetexte"/>
        <w:numPr>
          <w:ilvl w:val="0"/>
          <w:numId w:val="10"/>
        </w:numPr>
        <w:tabs>
          <w:tab w:val="clear" w:pos="709"/>
          <w:tab w:val="left" w:pos="709" w:leader="none"/>
        </w:tabs>
        <w:bidi w:val="0"/>
        <w:spacing w:before="0" w:after="0"/>
        <w:ind w:left="709" w:hanging="283"/>
        <w:jc w:val="left"/>
        <w:rPr/>
      </w:pPr>
      <w:r>
        <w:rPr/>
        <w:t>Les serveurs doivent être surveillés en continu pour détecter les activités suspectes, les intrusions et les anomalies de performance.</w:t>
      </w:r>
    </w:p>
    <w:p>
      <w:pPr>
        <w:pStyle w:val="Corpsdetexte"/>
        <w:numPr>
          <w:ilvl w:val="0"/>
          <w:numId w:val="10"/>
        </w:numPr>
        <w:tabs>
          <w:tab w:val="clear" w:pos="709"/>
          <w:tab w:val="left" w:pos="709" w:leader="none"/>
        </w:tabs>
        <w:bidi w:val="0"/>
        <w:ind w:left="709" w:hanging="283"/>
        <w:jc w:val="left"/>
        <w:rPr/>
      </w:pPr>
      <w:r>
        <w:rPr/>
        <w:t>Mettre en place des systèmes de détection d'intrusions (IDS) et des pare-feux pour protéger les serveurs contre les attaques.</w:t>
      </w:r>
    </w:p>
    <w:p>
      <w:pPr>
        <w:pStyle w:val="Titre3"/>
        <w:bidi w:val="0"/>
        <w:jc w:val="left"/>
        <w:rPr/>
      </w:pPr>
      <w:r>
        <w:rPr/>
        <w:t>4. Utilisation Acceptable</w:t>
      </w:r>
    </w:p>
    <w:p>
      <w:pPr>
        <w:pStyle w:val="Titre4"/>
        <w:bidi w:val="0"/>
        <w:jc w:val="left"/>
        <w:rPr/>
      </w:pPr>
      <w:r>
        <w:rPr/>
        <w:t>Utilisation des Ressources</w:t>
      </w:r>
    </w:p>
    <w:p>
      <w:pPr>
        <w:pStyle w:val="Corpsdetexte"/>
        <w:numPr>
          <w:ilvl w:val="0"/>
          <w:numId w:val="11"/>
        </w:numPr>
        <w:tabs>
          <w:tab w:val="clear" w:pos="709"/>
          <w:tab w:val="left" w:pos="709" w:leader="none"/>
        </w:tabs>
        <w:bidi w:val="0"/>
        <w:spacing w:before="0" w:after="0"/>
        <w:ind w:left="709" w:hanging="283"/>
        <w:jc w:val="left"/>
        <w:rPr/>
      </w:pPr>
      <w:r>
        <w:rPr/>
        <w:t>Utiliser les ressources serveur de manière responsable, en évitant les activités non autorisées ou susceptibles de compromettre la sécurité et la performance.</w:t>
      </w:r>
    </w:p>
    <w:p>
      <w:pPr>
        <w:pStyle w:val="Corpsdetexte"/>
        <w:numPr>
          <w:ilvl w:val="0"/>
          <w:numId w:val="11"/>
        </w:numPr>
        <w:tabs>
          <w:tab w:val="clear" w:pos="709"/>
          <w:tab w:val="left" w:pos="709" w:leader="none"/>
        </w:tabs>
        <w:bidi w:val="0"/>
        <w:ind w:left="709" w:hanging="283"/>
        <w:jc w:val="left"/>
        <w:rPr/>
      </w:pPr>
      <w:r>
        <w:rPr/>
        <w:t>Les serveurs ne doivent pas être utilisés pour des activités personnelles ou non liées aux fonctions professionnelles.</w:t>
      </w:r>
    </w:p>
    <w:p>
      <w:pPr>
        <w:pStyle w:val="Titre4"/>
        <w:bidi w:val="0"/>
        <w:jc w:val="left"/>
        <w:rPr/>
      </w:pPr>
      <w:r>
        <w:rPr/>
        <w:t>Téléchargements et Installations</w:t>
      </w:r>
    </w:p>
    <w:p>
      <w:pPr>
        <w:pStyle w:val="Corpsdetexte"/>
        <w:numPr>
          <w:ilvl w:val="0"/>
          <w:numId w:val="12"/>
        </w:numPr>
        <w:tabs>
          <w:tab w:val="clear" w:pos="709"/>
          <w:tab w:val="left" w:pos="709" w:leader="none"/>
        </w:tabs>
        <w:bidi w:val="0"/>
        <w:spacing w:before="0" w:after="0"/>
        <w:ind w:left="709" w:hanging="283"/>
        <w:jc w:val="left"/>
        <w:rPr/>
      </w:pPr>
      <w:r>
        <w:rPr/>
        <w:t>Télécharger et installer uniquement des logiciels et des applications approuvés par la DSI.</w:t>
      </w:r>
    </w:p>
    <w:p>
      <w:pPr>
        <w:pStyle w:val="Corpsdetexte"/>
        <w:numPr>
          <w:ilvl w:val="0"/>
          <w:numId w:val="12"/>
        </w:numPr>
        <w:tabs>
          <w:tab w:val="clear" w:pos="709"/>
          <w:tab w:val="left" w:pos="709" w:leader="none"/>
        </w:tabs>
        <w:bidi w:val="0"/>
        <w:ind w:left="709" w:hanging="283"/>
        <w:jc w:val="left"/>
        <w:rPr/>
      </w:pPr>
      <w:r>
        <w:rPr/>
        <w:t>Tout logiciel tiers doit être évalué pour les risques de sécurité avant son installation sur les serveurs.</w:t>
      </w:r>
    </w:p>
    <w:p>
      <w:pPr>
        <w:pStyle w:val="Titre3"/>
        <w:bidi w:val="0"/>
        <w:jc w:val="left"/>
        <w:rPr/>
      </w:pPr>
      <w:r>
        <w:rPr/>
        <w:t>5. Sauvegarde et Récupération</w:t>
      </w:r>
    </w:p>
    <w:p>
      <w:pPr>
        <w:pStyle w:val="Titre4"/>
        <w:bidi w:val="0"/>
        <w:jc w:val="left"/>
        <w:rPr/>
      </w:pPr>
      <w:r>
        <w:rPr/>
        <w:t>Stratégie de Sauvegarde</w:t>
      </w:r>
    </w:p>
    <w:p>
      <w:pPr>
        <w:pStyle w:val="Corpsdetexte"/>
        <w:numPr>
          <w:ilvl w:val="0"/>
          <w:numId w:val="13"/>
        </w:numPr>
        <w:tabs>
          <w:tab w:val="clear" w:pos="709"/>
          <w:tab w:val="left" w:pos="709" w:leader="none"/>
        </w:tabs>
        <w:bidi w:val="0"/>
        <w:spacing w:before="0" w:after="0"/>
        <w:ind w:left="709" w:hanging="283"/>
        <w:jc w:val="left"/>
        <w:rPr/>
      </w:pPr>
      <w:r>
        <w:rPr/>
        <w:t>Mettre en place une stratégie de sauvegarde régulière pour toutes les données critiques hébergées sur les serveurs.</w:t>
      </w:r>
    </w:p>
    <w:p>
      <w:pPr>
        <w:pStyle w:val="Corpsdetexte"/>
        <w:numPr>
          <w:ilvl w:val="0"/>
          <w:numId w:val="13"/>
        </w:numPr>
        <w:tabs>
          <w:tab w:val="clear" w:pos="709"/>
          <w:tab w:val="left" w:pos="709" w:leader="none"/>
        </w:tabs>
        <w:bidi w:val="0"/>
        <w:ind w:left="709" w:hanging="283"/>
        <w:jc w:val="left"/>
        <w:rPr/>
      </w:pPr>
      <w:r>
        <w:rPr/>
        <w:t>Les sauvegardes doivent être testées périodiquement pour garantir leur efficacité en cas de besoin de récupération.</w:t>
      </w:r>
    </w:p>
    <w:p>
      <w:pPr>
        <w:pStyle w:val="Titre4"/>
        <w:bidi w:val="0"/>
        <w:jc w:val="left"/>
        <w:rPr/>
      </w:pPr>
      <w:r>
        <w:rPr/>
        <w:t>Plan de Reprise d'Activité</w:t>
      </w:r>
    </w:p>
    <w:p>
      <w:pPr>
        <w:pStyle w:val="Corpsdetexte"/>
        <w:numPr>
          <w:ilvl w:val="0"/>
          <w:numId w:val="14"/>
        </w:numPr>
        <w:tabs>
          <w:tab w:val="clear" w:pos="709"/>
          <w:tab w:val="left" w:pos="709" w:leader="none"/>
        </w:tabs>
        <w:bidi w:val="0"/>
        <w:spacing w:before="0" w:after="0"/>
        <w:ind w:left="709" w:hanging="283"/>
        <w:jc w:val="left"/>
        <w:rPr/>
      </w:pPr>
      <w:r>
        <w:rPr/>
        <w:t>Élaborer et maintenir un plan de reprise d'activité pour assurer la continuité des services en cas de panne majeure ou de catastrophe.</w:t>
      </w:r>
    </w:p>
    <w:p>
      <w:pPr>
        <w:pStyle w:val="Corpsdetexte"/>
        <w:numPr>
          <w:ilvl w:val="0"/>
          <w:numId w:val="14"/>
        </w:numPr>
        <w:tabs>
          <w:tab w:val="clear" w:pos="709"/>
          <w:tab w:val="left" w:pos="709" w:leader="none"/>
        </w:tabs>
        <w:bidi w:val="0"/>
        <w:ind w:left="709" w:hanging="283"/>
        <w:jc w:val="left"/>
        <w:rPr/>
      </w:pPr>
      <w:r>
        <w:rPr/>
        <w:t>Le plan doit inclure des procédures de récupération des serveurs et des données.</w:t>
      </w:r>
    </w:p>
    <w:p>
      <w:pPr>
        <w:pStyle w:val="Lignehorizontale"/>
        <w:bidi w:val="0"/>
        <w:jc w:val="left"/>
        <w:rPr/>
      </w:pPr>
      <w:r>
        <w:rPr/>
      </w:r>
    </w:p>
    <w:p>
      <w:pPr>
        <w:pStyle w:val="Titre2"/>
        <w:bidi w:val="0"/>
        <w:jc w:val="left"/>
        <w:rPr/>
      </w:pPr>
      <w:r>
        <w:rPr/>
        <w:t>Surveillance et Audit</w:t>
      </w:r>
    </w:p>
    <w:p>
      <w:pPr>
        <w:pStyle w:val="Corpsdetexte"/>
        <w:numPr>
          <w:ilvl w:val="0"/>
          <w:numId w:val="15"/>
        </w:numPr>
        <w:tabs>
          <w:tab w:val="clear" w:pos="709"/>
          <w:tab w:val="left" w:pos="709" w:leader="none"/>
        </w:tabs>
        <w:bidi w:val="0"/>
        <w:spacing w:before="0" w:after="0"/>
        <w:ind w:left="709" w:hanging="283"/>
        <w:jc w:val="left"/>
        <w:rPr/>
      </w:pPr>
      <w:r>
        <w:rPr/>
        <w:t>Effectuer des audits réguliers des serveurs pour vérifier la conformité aux politiques de sécurité et aux standards de configuration.</w:t>
      </w:r>
    </w:p>
    <w:p>
      <w:pPr>
        <w:pStyle w:val="Corpsdetexte"/>
        <w:numPr>
          <w:ilvl w:val="0"/>
          <w:numId w:val="15"/>
        </w:numPr>
        <w:tabs>
          <w:tab w:val="clear" w:pos="709"/>
          <w:tab w:val="left" w:pos="709" w:leader="none"/>
        </w:tabs>
        <w:bidi w:val="0"/>
        <w:ind w:left="709" w:hanging="283"/>
        <w:jc w:val="left"/>
        <w:rPr/>
      </w:pPr>
      <w:r>
        <w:rPr/>
        <w:t>Surveiller les journaux d'accès et d'activité pour détecter et analyser les incidents de sécurité.</w:t>
      </w:r>
    </w:p>
    <w:p>
      <w:pPr>
        <w:pStyle w:val="Lignehorizontale"/>
        <w:bidi w:val="0"/>
        <w:jc w:val="left"/>
        <w:rPr/>
      </w:pPr>
      <w:r>
        <w:rPr/>
      </w:r>
    </w:p>
    <w:p>
      <w:pPr>
        <w:pStyle w:val="Titre2"/>
        <w:bidi w:val="0"/>
        <w:jc w:val="left"/>
        <w:rPr/>
      </w:pPr>
      <w:r>
        <w:rPr/>
        <w:t>Sanctions en Cas de Non-Respect</w:t>
      </w:r>
    </w:p>
    <w:p>
      <w:pPr>
        <w:pStyle w:val="Corpsdetexte"/>
        <w:numPr>
          <w:ilvl w:val="0"/>
          <w:numId w:val="16"/>
        </w:numPr>
        <w:tabs>
          <w:tab w:val="clear" w:pos="709"/>
          <w:tab w:val="left" w:pos="709" w:leader="none"/>
        </w:tabs>
        <w:bidi w:val="0"/>
        <w:spacing w:before="0" w:after="140"/>
        <w:ind w:left="709" w:hanging="283"/>
        <w:jc w:val="left"/>
        <w:rPr/>
      </w:pPr>
      <w:r>
        <w:rPr/>
        <w:t>Le non-respect des règles d'utilisation des serveurs peut entraîner des mesures disciplinaires, y compris des avertissements, des restrictions d'accès ou des actions juridiques en cas de violation grave.</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09"/>
        </w:tabs>
        <w:ind w:left="709" w:hanging="283"/>
      </w:pPr>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pStyle w:val="Titre1"/>
      <w:numFmt w:val="none"/>
      <w:suff w:val="nothing"/>
      <w:lvlText w:val=""/>
      <w:lvlJc w:val="left"/>
      <w:pPr>
        <w:tabs>
          <w:tab w:val="num" w:pos="0"/>
        </w:tabs>
        <w:ind w:left="0" w:hanging="0"/>
      </w:pPr>
    </w:lvl>
    <w:lvl w:ilvl="1">
      <w:start w:val="1"/>
      <w:pStyle w:val="Titre2"/>
      <w:numFmt w:val="none"/>
      <w:suff w:val="nothing"/>
      <w:lvlText w:val=""/>
      <w:lvlJc w:val="left"/>
      <w:pPr>
        <w:tabs>
          <w:tab w:val="num" w:pos="0"/>
        </w:tabs>
        <w:ind w:left="0" w:hanging="0"/>
      </w:pPr>
    </w:lvl>
    <w:lvl w:ilvl="2">
      <w:start w:val="1"/>
      <w:pStyle w:val="Titre3"/>
      <w:numFmt w:val="none"/>
      <w:suff w:val="nothing"/>
      <w:lvlText w:val=""/>
      <w:lvlJc w:val="left"/>
      <w:pPr>
        <w:tabs>
          <w:tab w:val="num" w:pos="0"/>
        </w:tabs>
        <w:ind w:left="0" w:hanging="0"/>
      </w:pPr>
    </w:lvl>
    <w:lvl w:ilvl="3">
      <w:start w:val="1"/>
      <w:pStyle w:val="Titre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fr-FR" w:eastAsia="zh-CN" w:bidi="hi-IN"/>
    </w:rPr>
  </w:style>
  <w:style w:type="paragraph" w:styleId="Titre1">
    <w:name w:val="Heading 1"/>
    <w:basedOn w:val="Titre"/>
    <w:next w:val="Corpsdetexte"/>
    <w:qFormat/>
    <w:pPr>
      <w:spacing w:before="240" w:after="120"/>
      <w:outlineLvl w:val="0"/>
    </w:pPr>
    <w:rPr>
      <w:rFonts w:ascii="Liberation Serif" w:hAnsi="Liberation Serif" w:eastAsia="Noto Serif CJK SC" w:cs="Lohit Devanagari"/>
      <w:b/>
      <w:bCs/>
      <w:sz w:val="48"/>
      <w:szCs w:val="48"/>
    </w:rPr>
  </w:style>
  <w:style w:type="paragraph" w:styleId="Titre2">
    <w:name w:val="Heading 2"/>
    <w:basedOn w:val="Titre"/>
    <w:next w:val="Corpsdetexte"/>
    <w:qFormat/>
    <w:pPr>
      <w:spacing w:before="200" w:after="120"/>
      <w:outlineLvl w:val="1"/>
    </w:pPr>
    <w:rPr>
      <w:rFonts w:ascii="Liberation Serif" w:hAnsi="Liberation Serif" w:eastAsia="Noto Serif CJK SC" w:cs="Lohit Devanagari"/>
      <w:b/>
      <w:bCs/>
      <w:sz w:val="36"/>
      <w:szCs w:val="36"/>
    </w:rPr>
  </w:style>
  <w:style w:type="paragraph" w:styleId="Titre3">
    <w:name w:val="Heading 3"/>
    <w:basedOn w:val="Titre"/>
    <w:next w:val="Corpsdetexte"/>
    <w:qFormat/>
    <w:pPr>
      <w:spacing w:before="140" w:after="120"/>
      <w:outlineLvl w:val="2"/>
    </w:pPr>
    <w:rPr>
      <w:rFonts w:ascii="Liberation Serif" w:hAnsi="Liberation Serif" w:eastAsia="Noto Serif CJK SC" w:cs="Lohit Devanagari"/>
      <w:b/>
      <w:bCs/>
      <w:sz w:val="28"/>
      <w:szCs w:val="28"/>
    </w:rPr>
  </w:style>
  <w:style w:type="paragraph" w:styleId="Titre4">
    <w:name w:val="Heading 4"/>
    <w:basedOn w:val="Titre"/>
    <w:next w:val="Corpsdetexte"/>
    <w:qFormat/>
    <w:pPr>
      <w:spacing w:before="120" w:after="120"/>
      <w:outlineLvl w:val="3"/>
    </w:pPr>
    <w:rPr>
      <w:rFonts w:ascii="Liberation Serif" w:hAnsi="Liberation Serif" w:eastAsia="Noto Serif CJK SC" w:cs="Lohit Devanagari"/>
      <w:b/>
      <w:bCs/>
      <w:sz w:val="24"/>
      <w:szCs w:val="24"/>
    </w:rPr>
  </w:style>
  <w:style w:type="character" w:styleId="Caractresdenumrotation">
    <w:name w:val="Caractères de numérotation"/>
    <w:qFormat/>
    <w:rPr/>
  </w:style>
  <w:style w:type="character" w:styleId="Accentuationforte">
    <w:name w:val="Accentuation forte"/>
    <w:qFormat/>
    <w:rPr>
      <w:b/>
      <w:bCs/>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gnehorizontale">
    <w:name w:val="Ligne horizontale"/>
    <w:basedOn w:val="Normal"/>
    <w:next w:val="Corpsdetexte"/>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LibreOffice/7.3.7.2$Linux_X86_64 LibreOffice_project/30$Build-2</Application>
  <AppVersion>15.0000</AppVersion>
  <Pages>3</Pages>
  <Words>738</Words>
  <Characters>4345</Characters>
  <CharactersWithSpaces>4984</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2024-07-16T16:18:20Z</dcterms:created>
  <dc:creator/>
  <dc:description/>
  <dc:language>fr-FR</dc:language>
  <cp:lastModifiedBy/>
  <dcterms:modified xsi:type="dcterms:W3CDTF">2024-07-16T16:19:17Z</dcterms:modified>
  <cp:revision>1</cp:revision>
  <dc:subject/>
  <dc:title/>
</cp:coreProperties>
</file>