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Times New Roman" w:cs="Calibri" w:cstheme="minorHAnsi"/>
          <w:b/>
          <w:b/>
          <w:bCs/>
          <w:sz w:val="44"/>
          <w:szCs w:val="44"/>
          <w:lang w:eastAsia="fr-FR"/>
        </w:rPr>
      </w:pPr>
      <w:r>
        <w:rPr>
          <w:rFonts w:eastAsia="Times New Roman" w:cs="Calibri" w:cstheme="minorHAnsi"/>
          <w:b/>
          <w:bCs/>
          <w:sz w:val="44"/>
          <w:szCs w:val="44"/>
          <w:lang w:eastAsia="fr-FR"/>
        </w:rPr>
        <w:t>Charte d’utilisation des ressources informatiques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itre1"/>
            <w:rPr/>
          </w:pPr>
          <w:r>
            <w:br w:type="page"/>
          </w:r>
          <w:r>
            <w:rPr/>
            <w:t>Table des matières</w:t>
          </w:r>
        </w:p>
        <w:p>
          <w:pPr>
            <w:pStyle w:val="Tabledesmatiresniveau1"/>
            <w:tabs>
              <w:tab w:val="clear" w:pos="708"/>
              <w:tab w:val="right" w:pos="9062" w:leader="dot"/>
            </w:tabs>
            <w:rPr/>
          </w:pPr>
          <w:r>
            <w:fldChar w:fldCharType="begin"/>
          </w:r>
          <w:r>
            <w:rPr>
              <w:webHidden/>
              <w:rStyle w:val="Sautdindex"/>
              <w:rFonts w:eastAsia="Times New Roman"/>
              <w:lang w:eastAsia="fr-FR"/>
            </w:rPr>
            <w:instrText xml:space="preserve"> TOC \z \o "1-3" \u \h</w:instrText>
          </w:r>
          <w:r>
            <w:rPr>
              <w:webHidden/>
              <w:rStyle w:val="Sautdindex"/>
              <w:rFonts w:eastAsia="Times New Roman"/>
              <w:lang w:eastAsia="fr-FR"/>
            </w:rPr>
            <w:fldChar w:fldCharType="separate"/>
          </w:r>
          <w:hyperlink w:anchor="_Toc172197837">
            <w:r>
              <w:rPr>
                <w:webHidden/>
                <w:rStyle w:val="Sautdindex"/>
                <w:rFonts w:eastAsia="Times New Roman"/>
                <w:lang w:eastAsia="fr-FR"/>
              </w:rPr>
              <w:t>Charte d'utilisation des ressources informatiques de NETBYUS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_Toc172197837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38">
            <w:r>
              <w:rPr>
                <w:webHidden/>
                <w:rStyle w:val="Sautdindex"/>
                <w:rFonts w:eastAsia="Times New Roman"/>
                <w:lang w:eastAsia="fr-FR"/>
              </w:rPr>
              <w:t>Préambule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_Toc172197838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39">
            <w:r>
              <w:rPr>
                <w:webHidden/>
                <w:rStyle w:val="Sautdindex"/>
                <w:rFonts w:eastAsia="Times New Roman"/>
                <w:lang w:eastAsia="fr-FR"/>
              </w:rPr>
              <w:t>Objectif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_Toc172197839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0">
            <w:r>
              <w:rPr>
                <w:webHidden/>
                <w:rStyle w:val="Sautdindex"/>
                <w:rFonts w:eastAsia="Times New Roman"/>
                <w:lang w:eastAsia="fr-FR"/>
              </w:rPr>
              <w:t>Champ d'application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_Toc172197840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1">
            <w:r>
              <w:rPr>
                <w:webHidden/>
                <w:rStyle w:val="Sautdindex"/>
                <w:rFonts w:eastAsia="Times New Roman"/>
                <w:lang w:eastAsia="fr-FR"/>
              </w:rPr>
              <w:t>Définitions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_Toc172197841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2">
            <w:r>
              <w:rPr>
                <w:webHidden/>
                <w:rStyle w:val="Sautdindex"/>
                <w:rFonts w:eastAsia="Times New Roman"/>
                <w:lang w:eastAsia="fr-FR"/>
              </w:rPr>
              <w:t>Accès aux ressources informatiques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_Toc172197842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3">
            <w:r>
              <w:rPr>
                <w:webHidden/>
                <w:rStyle w:val="Sautdindex"/>
                <w:rFonts w:eastAsia="Times New Roman"/>
                <w:lang w:eastAsia="fr-FR"/>
              </w:rPr>
              <w:t>Règles générales d'utilisation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_Toc172197843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4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ordinateurs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_Toc172197844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5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serveurs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_Toc172197845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6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réseaux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_Toc172197846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7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logiciels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_Toc172197847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8">
            <w:r>
              <w:rPr>
                <w:webHidden/>
                <w:rStyle w:val="Sautdindex"/>
                <w:rFonts w:eastAsia="Times New Roman"/>
                <w:lang w:eastAsia="fr-FR"/>
              </w:rPr>
              <w:t>Utilisation des téléphones portables et/ou tablettes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_Toc172197848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49">
            <w:r>
              <w:rPr>
                <w:webHidden/>
                <w:rStyle w:val="Sautdindex"/>
                <w:rFonts w:eastAsia="Times New Roman"/>
                <w:lang w:eastAsia="fr-FR"/>
              </w:rPr>
              <w:t>Utilisation de la messagerie électronique et communication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_Toc172197849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0">
            <w:r>
              <w:rPr>
                <w:webHidden/>
                <w:rStyle w:val="Sautdindex"/>
                <w:rFonts w:eastAsia="Times New Roman"/>
                <w:lang w:eastAsia="fr-FR"/>
              </w:rPr>
              <w:t>Mobilité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_Toc172197850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1">
            <w:r>
              <w:rPr>
                <w:webHidden/>
                <w:rStyle w:val="Sautdindex"/>
                <w:rFonts w:eastAsia="Times New Roman"/>
                <w:lang w:eastAsia="fr-FR"/>
              </w:rPr>
              <w:t>Confidentialité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_Toc172197851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2">
            <w:r>
              <w:rPr>
                <w:webHidden/>
                <w:rStyle w:val="Sautdindex"/>
                <w:rFonts w:eastAsia="Times New Roman"/>
                <w:lang w:eastAsia="fr-FR"/>
              </w:rPr>
              <w:t>Formation et sensibilisation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_Toc172197852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3">
            <w:r>
              <w:rPr>
                <w:webHidden/>
                <w:rStyle w:val="Sautdindex"/>
                <w:rFonts w:eastAsia="Times New Roman"/>
                <w:lang w:eastAsia="fr-FR"/>
              </w:rPr>
              <w:t>Sanctions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_Toc172197853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4">
            <w:r>
              <w:rPr>
                <w:webHidden/>
                <w:rStyle w:val="Sautdindex"/>
                <w:rFonts w:eastAsia="Times New Roman"/>
                <w:lang w:eastAsia="fr-FR"/>
              </w:rPr>
              <w:t>Entrée en vigueur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_Toc172197854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abledesmatiresniveau2"/>
            <w:tabs>
              <w:tab w:val="clear" w:pos="708"/>
              <w:tab w:val="right" w:pos="9062" w:leader="dot"/>
            </w:tabs>
            <w:rPr/>
          </w:pPr>
          <w:hyperlink w:anchor="_Toc172197855">
            <w:r>
              <w:rPr>
                <w:webHidden/>
                <w:rStyle w:val="Sautdindex"/>
                <w:rFonts w:eastAsia="Times New Roman"/>
                <w:lang w:eastAsia="fr-FR"/>
              </w:rPr>
              <w:t>Révision de la convention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_Toc172197855 \h</w:instrText>
            </w:r>
            <w:r>
              <w:rPr>
                <w:webHidden/>
              </w:rPr>
              <w:fldChar w:fldCharType="separate"/>
            </w:r>
            <w:r>
              <w:rPr>
                <w:rStyle w:val="Sautdindex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/>
          </w:r>
          <w:r>
            <w:rPr/>
            <w:fldChar w:fldCharType="end"/>
          </w:r>
        </w:p>
      </w:sdtContent>
    </w:sdt>
    <w:p>
      <w:pPr>
        <w:pStyle w:val="Normal"/>
        <w:rPr>
          <w:rFonts w:eastAsia="Times New Roman" w:cs="Calibri" w:cstheme="minorHAnsi"/>
          <w:b/>
          <w:b/>
          <w:bCs/>
          <w:sz w:val="44"/>
          <w:szCs w:val="44"/>
          <w:lang w:eastAsia="fr-FR"/>
        </w:rPr>
      </w:pPr>
      <w:r>
        <w:rPr>
          <w:rFonts w:eastAsia="Times New Roman" w:cs="Calibri" w:cstheme="minorHAnsi"/>
          <w:b/>
          <w:bCs/>
          <w:sz w:val="44"/>
          <w:szCs w:val="44"/>
          <w:lang w:eastAsia="fr-FR"/>
        </w:rPr>
      </w:r>
      <w:r>
        <w:br w:type="page"/>
      </w:r>
    </w:p>
    <w:p>
      <w:pPr>
        <w:pStyle w:val="Titre1"/>
        <w:rPr>
          <w:rFonts w:eastAsia="Times New Roman"/>
          <w:lang w:eastAsia="fr-FR"/>
        </w:rPr>
      </w:pPr>
      <w:bookmarkStart w:id="0" w:name="_Toc172197837"/>
      <w:r>
        <w:rPr>
          <w:rFonts w:eastAsia="Times New Roman"/>
          <w:lang w:eastAsia="fr-FR"/>
        </w:rPr>
        <w:t>Charte d'utilisation des ressources informatiques de NETBYUS</w:t>
      </w:r>
      <w:bookmarkEnd w:id="0"/>
    </w:p>
    <w:p>
      <w:pPr>
        <w:pStyle w:val="Titre2"/>
        <w:rPr>
          <w:rFonts w:eastAsia="Times New Roman"/>
          <w:lang w:eastAsia="fr-FR"/>
        </w:rPr>
      </w:pPr>
      <w:bookmarkStart w:id="1" w:name="_Toc172197838"/>
      <w:r>
        <w:rPr>
          <w:rFonts w:eastAsia="Times New Roman"/>
          <w:lang w:eastAsia="fr-FR"/>
        </w:rPr>
        <w:t>Préambule</w:t>
      </w:r>
      <w:bookmarkEnd w:id="1"/>
    </w:p>
    <w:p>
      <w:pPr>
        <w:pStyle w:val="Normal"/>
        <w:rPr/>
      </w:pPr>
      <w:r>
        <w:rPr/>
        <w:t>La présente charte d'utilisation des ressources informatiques (ci-après la « Charte ») a pour objet de définir les règles d'utilisation des ressources informatiques de NETBYUS (ordinateurs, serveurs, réseaux, logiciels, etc.) par les collaborateurs de l'entreprise.</w:t>
      </w:r>
    </w:p>
    <w:p>
      <w:pPr>
        <w:pStyle w:val="Normal"/>
        <w:rPr/>
      </w:pPr>
      <w:r>
        <w:rPr/>
      </w:r>
    </w:p>
    <w:p>
      <w:pPr>
        <w:pStyle w:val="Titre2"/>
        <w:rPr>
          <w:rFonts w:eastAsia="Times New Roman"/>
          <w:lang w:eastAsia="fr-FR"/>
        </w:rPr>
      </w:pPr>
      <w:bookmarkStart w:id="2" w:name="_Toc172197839"/>
      <w:r>
        <w:rPr>
          <w:rFonts w:eastAsia="Times New Roman"/>
          <w:lang w:eastAsia="fr-FR"/>
        </w:rPr>
        <w:t>Objectif</w:t>
      </w:r>
      <w:bookmarkEnd w:id="2"/>
    </w:p>
    <w:p>
      <w:pPr>
        <w:pStyle w:val="Normal"/>
        <w:rPr>
          <w:lang w:eastAsia="fr-FR"/>
        </w:rPr>
      </w:pPr>
      <w:r>
        <w:rPr>
          <w:lang w:eastAsia="fr-FR"/>
        </w:rPr>
        <w:t>La Charte a pour but de :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Protéger les ressources informatiques de NETBYUS,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Assurer la sécurité des données de l'entreprise,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Préserver la confidentialité des informations,</w:t>
      </w:r>
    </w:p>
    <w:p>
      <w:pPr>
        <w:pStyle w:val="ListParagraph"/>
        <w:numPr>
          <w:ilvl w:val="0"/>
          <w:numId w:val="1"/>
        </w:numPr>
        <w:rPr>
          <w:lang w:eastAsia="fr-FR"/>
        </w:rPr>
      </w:pPr>
      <w:r>
        <w:rPr>
          <w:b/>
          <w:bCs/>
          <w:lang w:eastAsia="fr-FR"/>
        </w:rPr>
        <w:t>Promouvoir une utilisation responsable des ressources informatiques.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3" w:name="_Toc172197840"/>
      <w:r>
        <w:rPr>
          <w:rFonts w:eastAsia="Times New Roman"/>
          <w:lang w:eastAsia="fr-FR"/>
        </w:rPr>
        <w:t>Champ d'application</w:t>
      </w:r>
      <w:bookmarkEnd w:id="3"/>
    </w:p>
    <w:p>
      <w:pPr>
        <w:pStyle w:val="Normal"/>
        <w:rPr/>
      </w:pPr>
      <w:r>
        <w:rPr/>
        <w:t>Cette charte s'applique à tous les employés, prestataires, et partenaires de NETBYUS utilisant les ressources informatiques de l'entreprise, y compris les ordinateurs, les réseaux, les logiciels et les dispositifs mobiles.</w:t>
      </w:r>
    </w:p>
    <w:p>
      <w:pPr>
        <w:pStyle w:val="Normal"/>
        <w:rPr/>
      </w:pPr>
      <w:r>
        <w:rPr/>
      </w:r>
    </w:p>
    <w:p>
      <w:pPr>
        <w:pStyle w:val="Titre2"/>
        <w:rPr>
          <w:rFonts w:eastAsia="Times New Roman"/>
          <w:lang w:eastAsia="fr-FR"/>
        </w:rPr>
      </w:pPr>
      <w:bookmarkStart w:id="4" w:name="_Toc172197841"/>
      <w:r>
        <w:rPr>
          <w:rFonts w:eastAsia="Times New Roman"/>
          <w:lang w:eastAsia="fr-FR"/>
        </w:rPr>
        <w:t>Définitions</w:t>
      </w:r>
      <w:bookmarkEnd w:id="4"/>
    </w:p>
    <w:p>
      <w:pPr>
        <w:pStyle w:val="ListParagraph"/>
        <w:numPr>
          <w:ilvl w:val="0"/>
          <w:numId w:val="2"/>
        </w:numPr>
        <w:rPr>
          <w:lang w:eastAsia="fr-FR"/>
        </w:rPr>
      </w:pPr>
      <w:r>
        <w:rPr>
          <w:b/>
          <w:bCs/>
          <w:lang w:eastAsia="fr-FR"/>
        </w:rPr>
        <w:t>Ressources informatiques :</w:t>
      </w:r>
      <w:r>
        <w:rPr>
          <w:lang w:eastAsia="fr-FR"/>
        </w:rPr>
        <w:t xml:space="preserve"> ordinateurs, serveurs, réseaux, logiciels, etc.</w:t>
      </w:r>
    </w:p>
    <w:p>
      <w:pPr>
        <w:pStyle w:val="ListParagraph"/>
        <w:numPr>
          <w:ilvl w:val="0"/>
          <w:numId w:val="2"/>
        </w:numPr>
        <w:rPr>
          <w:lang w:eastAsia="fr-FR"/>
        </w:rPr>
      </w:pPr>
      <w:r>
        <w:rPr>
          <w:b/>
          <w:bCs/>
          <w:lang w:eastAsia="fr-FR"/>
        </w:rPr>
        <w:t>Utilisateur :</w:t>
      </w:r>
      <w:r>
        <w:rPr>
          <w:lang w:eastAsia="fr-FR"/>
        </w:rPr>
        <w:t xml:space="preserve"> collaborateur et prestataire de NETBYUS autorisés à utiliser les ressources informatiques.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5" w:name="_Toc172197842"/>
      <w:r>
        <w:rPr>
          <w:rFonts w:eastAsia="Times New Roman"/>
          <w:lang w:eastAsia="fr-FR"/>
        </w:rPr>
        <w:t>Accès aux ressources informatiques</w:t>
      </w:r>
      <w:bookmarkEnd w:id="5"/>
    </w:p>
    <w:p>
      <w:pPr>
        <w:pStyle w:val="Normal"/>
        <w:rPr/>
      </w:pPr>
      <w:r>
        <w:rPr/>
        <w:t>L'accès aux ressources informatiques est accordé sur la base des besoins professionnels.</w:t>
      </w:r>
    </w:p>
    <w:p>
      <w:pPr>
        <w:pStyle w:val="Titre2"/>
        <w:rPr>
          <w:rFonts w:eastAsia="Times New Roman"/>
          <w:lang w:eastAsia="fr-FR"/>
        </w:rPr>
      </w:pPr>
      <w:bookmarkStart w:id="6" w:name="_Toc172197843"/>
      <w:r>
        <w:rPr>
          <w:rFonts w:eastAsia="Times New Roman"/>
          <w:lang w:eastAsia="fr-FR"/>
        </w:rPr>
        <w:t>Règles générales d'utilisation</w:t>
      </w:r>
      <w:bookmarkEnd w:id="6"/>
    </w:p>
    <w:p>
      <w:pPr>
        <w:pStyle w:val="ListParagraph"/>
        <w:numPr>
          <w:ilvl w:val="0"/>
          <w:numId w:val="3"/>
        </w:numPr>
        <w:rPr/>
      </w:pPr>
      <w:r>
        <w:rPr/>
        <w:t>Les utilisateurs doivent utiliser les ressources informatiques de manière responsable et éthique, en respectant les politiques de l'entreprise et les réglementations légales.</w:t>
      </w:r>
    </w:p>
    <w:p>
      <w:pPr>
        <w:pStyle w:val="ListParagraph"/>
        <w:numPr>
          <w:ilvl w:val="0"/>
          <w:numId w:val="3"/>
        </w:numPr>
        <w:rPr/>
      </w:pPr>
      <w:r>
        <w:rPr/>
        <w:t>Les ressources informatiques doivent être utilisées strictement à des fins professionnelles et en accord avec les objectifs de l'entreprise.</w:t>
      </w:r>
    </w:p>
    <w:p>
      <w:pPr>
        <w:pStyle w:val="ListParagraph"/>
        <w:numPr>
          <w:ilvl w:val="0"/>
          <w:numId w:val="3"/>
        </w:numPr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>Les utilisateurs sont responsables de la sécurité des ressources informatiques qu'ils utilisent.</w:t>
      </w:r>
    </w:p>
    <w:p>
      <w:pPr>
        <w:pStyle w:val="ListParagraph"/>
        <w:numPr>
          <w:ilvl w:val="0"/>
          <w:numId w:val="3"/>
        </w:numPr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 xml:space="preserve">Les utilisateurs ne doivent en aucun cas </w:t>
      </w:r>
      <w:r>
        <w:rPr/>
        <w:t>utiliser les ressources informatiques pour des activités illégales, offensantes, discriminatoires ou nuisibles à l'image de l'entreprise.</w:t>
      </w:r>
    </w:p>
    <w:p>
      <w:pPr>
        <w:pStyle w:val="ListParagraph"/>
        <w:numPr>
          <w:ilvl w:val="0"/>
          <w:numId w:val="3"/>
        </w:numPr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 xml:space="preserve">Les utilisateurs doivent respecter la confidentialité des données. </w:t>
      </w:r>
      <w:r>
        <w:rPr>
          <w:rFonts w:eastAsia="Times New Roman"/>
          <w:shd w:fill="auto" w:val="clear"/>
          <w:lang w:eastAsia="fr-FR"/>
        </w:rPr>
        <w:t>Ils doivent protéger la confidentialité des informations et ne pas divulguer de</w:t>
      </w:r>
      <w:r>
        <w:rPr>
          <w:rFonts w:eastAsia="Times New Roman"/>
          <w:shd w:fill="auto" w:val="clear"/>
          <w:lang w:eastAsia="fr-FR"/>
        </w:rPr>
        <w:t>s</w:t>
      </w:r>
      <w:r>
        <w:rPr>
          <w:rFonts w:eastAsia="Times New Roman"/>
          <w:shd w:fill="auto" w:val="clear"/>
          <w:lang w:eastAsia="fr-FR"/>
        </w:rPr>
        <w:t xml:space="preserve"> données sensibles à des personnes non autorisées.</w:t>
      </w:r>
    </w:p>
    <w:p>
      <w:pPr>
        <w:pStyle w:val="ListParagraph"/>
        <w:numPr>
          <w:ilvl w:val="0"/>
          <w:numId w:val="3"/>
        </w:numPr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>Les utilisateurs doivent signaler à la DSI tout incident informatique dont ils ont connaissance.</w:t>
      </w:r>
    </w:p>
    <w:p>
      <w:pPr>
        <w:pStyle w:val="Normal"/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7" w:name="_Toc172197844"/>
      <w:r>
        <w:rPr>
          <w:rFonts w:eastAsia="Times New Roman"/>
          <w:lang w:eastAsia="fr-FR"/>
        </w:rPr>
        <w:t>Utilisation des ordinateurs</w:t>
      </w:r>
      <w:bookmarkEnd w:id="7"/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 xml:space="preserve">Les utilisateurs doivent utiliser un mot de passe confidentiel pour protéger leur compte </w:t>
      </w:r>
      <w:r>
        <w:rPr>
          <w:lang w:eastAsia="fr-FR"/>
        </w:rPr>
        <w:t>(se référer à la politique de gestion des mots de passe de la DSI)</w:t>
      </w:r>
      <w:r>
        <w:rPr>
          <w:lang w:eastAsia="fr-FR"/>
        </w:rPr>
        <w:t>.</w:t>
      </w:r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>Les utilisateurs doivent verrouiller leur ordinateur lorsqu'ils s'absentent.</w:t>
      </w:r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>Les utilisateurs ne doivent pas installer de logiciels non autorisés sur leur ordinateur.</w:t>
      </w:r>
    </w:p>
    <w:p>
      <w:pPr>
        <w:pStyle w:val="ListParagraph"/>
        <w:numPr>
          <w:ilvl w:val="0"/>
          <w:numId w:val="4"/>
        </w:numPr>
        <w:rPr>
          <w:lang w:eastAsia="fr-FR"/>
        </w:rPr>
      </w:pPr>
      <w:r>
        <w:rPr>
          <w:lang w:eastAsia="fr-FR"/>
        </w:rPr>
        <w:t>Les utilisateurs ne doivent pas partager leur compte avec d'autres personnes.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8" w:name="_Toc172197845"/>
      <w:r>
        <w:rPr>
          <w:rFonts w:eastAsia="Times New Roman"/>
          <w:lang w:eastAsia="fr-FR"/>
        </w:rPr>
        <w:t>Utilisation des serveurs</w:t>
      </w:r>
      <w:bookmarkEnd w:id="8"/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>L'accès aux serveurs est réservé aux utilisateurs autorisés.</w:t>
      </w:r>
    </w:p>
    <w:p>
      <w:pPr>
        <w:pStyle w:val="ListParagraph"/>
        <w:numPr>
          <w:ilvl w:val="0"/>
          <w:numId w:val="5"/>
        </w:numPr>
        <w:rPr>
          <w:lang w:eastAsia="fr-FR"/>
        </w:rPr>
      </w:pPr>
      <w:r>
        <w:rPr>
          <w:lang w:eastAsia="fr-FR"/>
        </w:rPr>
        <w:t xml:space="preserve">Les utilisateurs doivent respecter les règles de gestion et d’utilisation des serveurs </w:t>
      </w:r>
      <w:r>
        <w:rPr/>
        <w:t>définies par la DSI</w:t>
      </w:r>
      <w:r>
        <w:rPr>
          <w:spacing w:val="-2"/>
        </w:rPr>
        <w:t>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9" w:name="_Toc172197846"/>
      <w:r>
        <w:rPr>
          <w:rFonts w:eastAsia="Times New Roman"/>
          <w:lang w:eastAsia="fr-FR"/>
        </w:rPr>
        <w:t>Utilisation des réseaux</w:t>
      </w:r>
      <w:bookmarkEnd w:id="9"/>
    </w:p>
    <w:p>
      <w:pPr>
        <w:pStyle w:val="ListParagraph"/>
        <w:numPr>
          <w:ilvl w:val="0"/>
          <w:numId w:val="6"/>
        </w:numPr>
        <w:rPr/>
      </w:pPr>
      <w:r>
        <w:rPr/>
        <w:t xml:space="preserve">Les utilisateurs ne doivent utiliser le réseau que pour les objectifs professionnels. </w:t>
      </w:r>
    </w:p>
    <w:p>
      <w:pPr>
        <w:pStyle w:val="ListParagraph"/>
        <w:numPr>
          <w:ilvl w:val="0"/>
          <w:numId w:val="6"/>
        </w:numPr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>Les utilisateurs ne doivent pas utiliser le réseau pour des activités illégales, offensant ou inapproprié.</w:t>
      </w:r>
    </w:p>
    <w:p>
      <w:pPr>
        <w:pStyle w:val="ListParagraph"/>
        <w:numPr>
          <w:ilvl w:val="0"/>
          <w:numId w:val="6"/>
        </w:numPr>
        <w:rPr/>
      </w:pPr>
      <w:r>
        <w:rPr/>
        <w:t>Le téléchargement et le partage de fichiers doivent être limités aux besoins professionnels et respecter les droits d'auteur.</w:t>
      </w:r>
    </w:p>
    <w:p>
      <w:pPr>
        <w:pStyle w:val="Normal"/>
        <w:rPr/>
      </w:pPr>
      <w:r>
        <w:rPr/>
      </w:r>
    </w:p>
    <w:p>
      <w:pPr>
        <w:pStyle w:val="Titre2"/>
        <w:rPr>
          <w:rFonts w:eastAsia="Times New Roman"/>
          <w:lang w:eastAsia="fr-FR"/>
        </w:rPr>
      </w:pPr>
      <w:bookmarkStart w:id="10" w:name="_Toc172197847"/>
      <w:r>
        <w:rPr>
          <w:rFonts w:eastAsia="Times New Roman"/>
          <w:lang w:eastAsia="fr-FR"/>
        </w:rPr>
        <w:t>Utilisation des logiciels</w:t>
      </w:r>
      <w:bookmarkEnd w:id="10"/>
    </w:p>
    <w:p>
      <w:pPr>
        <w:pStyle w:val="ListParagraph"/>
        <w:numPr>
          <w:ilvl w:val="0"/>
          <w:numId w:val="7"/>
        </w:numPr>
        <w:rPr>
          <w:lang w:eastAsia="fr-FR"/>
        </w:rPr>
      </w:pPr>
      <w:r>
        <w:rPr>
          <w:lang w:eastAsia="fr-FR"/>
        </w:rPr>
        <w:t>Les utilisateurs doivent utiliser des logiciels autorisés uniquement.</w:t>
      </w:r>
    </w:p>
    <w:p>
      <w:pPr>
        <w:pStyle w:val="ListParagraph"/>
        <w:numPr>
          <w:ilvl w:val="0"/>
          <w:numId w:val="7"/>
        </w:numPr>
        <w:rPr>
          <w:lang w:eastAsia="fr-FR"/>
        </w:rPr>
      </w:pPr>
      <w:r>
        <w:rPr>
          <w:lang w:eastAsia="fr-FR"/>
        </w:rPr>
        <w:t>Les utilisateurs ne doivent pas copier ou distribuer des logiciels illégalement.</w:t>
      </w:r>
    </w:p>
    <w:p>
      <w:pPr>
        <w:pStyle w:val="ListParagraph"/>
        <w:numPr>
          <w:ilvl w:val="0"/>
          <w:numId w:val="7"/>
        </w:numPr>
        <w:rPr>
          <w:lang w:eastAsia="fr-FR"/>
        </w:rPr>
      </w:pPr>
      <w:r>
        <w:rPr>
          <w:lang w:eastAsia="fr-FR"/>
        </w:rPr>
        <w:t>Les utilisateurs ne doivent pas modifier les logiciels sans autorisation.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1" w:name="_Toc172197848"/>
      <w:r>
        <w:rPr>
          <w:rFonts w:eastAsia="Times New Roman"/>
          <w:lang w:eastAsia="fr-FR"/>
        </w:rPr>
        <w:t>Utilisation des téléphones portables et/ou tablettes</w:t>
      </w:r>
      <w:bookmarkEnd w:id="11"/>
    </w:p>
    <w:p>
      <w:pPr>
        <w:pStyle w:val="ListParagraph"/>
        <w:numPr>
          <w:ilvl w:val="0"/>
          <w:numId w:val="8"/>
        </w:numPr>
        <w:rPr>
          <w:lang w:eastAsia="fr-FR"/>
        </w:rPr>
      </w:pPr>
      <w:r>
        <w:rPr>
          <w:lang w:eastAsia="fr-FR"/>
        </w:rPr>
        <w:t>Les utilisateurs doivent utiliser les téléphones portables et/ou tablettes à des fins professionnelles uniquement.</w:t>
      </w:r>
    </w:p>
    <w:p>
      <w:pPr>
        <w:pStyle w:val="ListParagraph"/>
        <w:numPr>
          <w:ilvl w:val="0"/>
          <w:numId w:val="8"/>
        </w:numPr>
        <w:rPr>
          <w:lang w:eastAsia="fr-FR"/>
        </w:rPr>
      </w:pPr>
      <w:r>
        <w:rPr>
          <w:lang w:eastAsia="fr-FR"/>
        </w:rPr>
        <w:t>Les utilisateurs ne doivent pas stocker de données sensibles sur les téléphones portables et/ou tablettes.</w:t>
      </w:r>
    </w:p>
    <w:p>
      <w:pPr>
        <w:pStyle w:val="ListParagraph"/>
        <w:numPr>
          <w:ilvl w:val="0"/>
          <w:numId w:val="8"/>
        </w:numPr>
        <w:rPr>
          <w:lang w:eastAsia="fr-FR"/>
        </w:rPr>
      </w:pPr>
      <w:r>
        <w:rPr>
          <w:lang w:eastAsia="fr-FR"/>
        </w:rPr>
        <w:t>Les utilisateurs ne doivent pas utiliser les téléphones portables et/ou tablettes pour se connecter à des réseaux non sécurisés.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2" w:name="_Toc172197849"/>
      <w:r>
        <w:rPr>
          <w:rFonts w:eastAsia="Times New Roman"/>
          <w:lang w:eastAsia="fr-FR"/>
        </w:rPr>
        <w:t>Utilisation de la messagerie électronique et communication</w:t>
      </w:r>
      <w:bookmarkEnd w:id="12"/>
    </w:p>
    <w:p>
      <w:pPr>
        <w:pStyle w:val="ListParagraph"/>
        <w:numPr>
          <w:ilvl w:val="0"/>
          <w:numId w:val="9"/>
        </w:numPr>
        <w:rPr>
          <w:lang w:eastAsia="fr-FR"/>
        </w:rPr>
      </w:pPr>
      <w:r>
        <w:rPr>
          <w:lang w:eastAsia="fr-FR"/>
        </w:rPr>
        <w:t>Les emails professionnels doivent être utilisés pour les communications relatives au travail.</w:t>
      </w:r>
    </w:p>
    <w:p>
      <w:pPr>
        <w:pStyle w:val="ListParagraph"/>
        <w:numPr>
          <w:ilvl w:val="0"/>
          <w:numId w:val="9"/>
        </w:numPr>
        <w:rPr>
          <w:lang w:eastAsia="fr-FR"/>
        </w:rPr>
      </w:pPr>
      <w:r>
        <w:rPr>
          <w:lang w:eastAsia="fr-FR"/>
        </w:rPr>
        <w:t xml:space="preserve">Les utilisateurs doivent éviter d’ouvrir des pièces jointes suspectes et signaler les emails suspects à la DSI. </w:t>
      </w:r>
    </w:p>
    <w:p>
      <w:pPr>
        <w:pStyle w:val="ListParagraph"/>
        <w:numPr>
          <w:ilvl w:val="0"/>
          <w:numId w:val="9"/>
        </w:numPr>
        <w:rPr>
          <w:lang w:eastAsia="fr-FR"/>
        </w:rPr>
      </w:pPr>
      <w:r>
        <w:rPr>
          <w:lang w:eastAsia="fr-FR"/>
        </w:rPr>
        <w:t xml:space="preserve">L’utilisation des services de messagerie instantanée doit se limiter aux communications professionnelles et respecter les mêmes règles que les emails. </w:t>
      </w:r>
    </w:p>
    <w:p>
      <w:pPr>
        <w:pStyle w:val="ListParagraph"/>
        <w:numPr>
          <w:ilvl w:val="0"/>
          <w:numId w:val="9"/>
        </w:numPr>
        <w:rPr>
          <w:lang w:eastAsia="fr-FR"/>
        </w:rPr>
      </w:pPr>
      <w:r>
        <w:rPr>
          <w:lang w:eastAsia="fr-FR"/>
        </w:rPr>
        <w:t>Les utilisateurs doivent comprendre que les communications électroniques ne sont autorisées qu’à travers les outils internes de l’entreprise et doivent respecter cela.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3" w:name="_Toc172197850"/>
      <w:r>
        <w:rPr>
          <w:rFonts w:eastAsia="Times New Roman"/>
          <w:lang w:eastAsia="fr-FR"/>
        </w:rPr>
        <w:t>Mobilité</w:t>
      </w:r>
      <w:bookmarkEnd w:id="13"/>
    </w:p>
    <w:p>
      <w:pPr>
        <w:pStyle w:val="Normal"/>
        <w:rPr>
          <w:rFonts w:eastAsia="Times New Roman"/>
          <w:lang w:eastAsia="fr-FR"/>
        </w:rPr>
      </w:pPr>
      <w:r>
        <w:rPr>
          <w:rFonts w:eastAsia="Times New Roman"/>
          <w:lang w:eastAsia="fr-FR"/>
        </w:rPr>
        <w:t xml:space="preserve">Cette section établies les règles et les bonnes pratiques pour l’utilisation des équipements informatiques mobile de l’entreprise. </w:t>
      </w:r>
    </w:p>
    <w:p>
      <w:pPr>
        <w:pStyle w:val="Normal"/>
        <w:rPr>
          <w:rFonts w:eastAsia="Times New Roman"/>
          <w:lang w:eastAsia="fr-FR"/>
        </w:rPr>
      </w:pPr>
      <w:r>
        <w:rPr/>
        <w:t xml:space="preserve">La mobilité des ressources informatiques permet aux utilisateurs de travailler efficacement depuis différents lieux, que ce soit à distance, en déplacement ou sur différents sites de l'entreprise. </w:t>
      </w:r>
    </w:p>
    <w:p>
      <w:pPr>
        <w:pStyle w:val="Normal"/>
        <w:rPr>
          <w:b/>
          <w:b/>
          <w:bCs/>
          <w:color w:val="FF3838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  <w:shd w:fill="auto" w:val="clear"/>
        </w:rPr>
        <w:t>NB:</w:t>
      </w:r>
      <w:r>
        <w:rPr>
          <w:b/>
          <w:bCs/>
          <w:color w:val="FF3838"/>
          <w:sz w:val="20"/>
          <w:szCs w:val="20"/>
        </w:rPr>
        <w:t xml:space="preserve"> </w:t>
      </w:r>
      <w:r>
        <w:rPr>
          <w:rFonts w:asciiTheme="minorHAnsi" w:hAnsiTheme="minorHAnsi"/>
          <w:b/>
          <w:bCs/>
          <w:color w:val="000000"/>
          <w:sz w:val="20"/>
          <w:szCs w:val="20"/>
          <w:shd w:fill="auto" w:val="clear"/>
        </w:rPr>
        <w:t xml:space="preserve">Avant de se déplacer avec un équipement informatique (ordinateur portable, tablette, etc.) </w:t>
      </w:r>
      <w:r>
        <w:rPr>
          <w:rFonts w:asciiTheme="minorHAnsi" w:hAnsiTheme="minorHAnsi"/>
          <w:b/>
          <w:bCs/>
          <w:color w:val="000000"/>
          <w:sz w:val="20"/>
          <w:szCs w:val="20"/>
          <w:shd w:fill="auto" w:val="clear"/>
        </w:rPr>
        <w:t>de l’entreprise</w:t>
      </w:r>
      <w:r>
        <w:rPr>
          <w:rFonts w:asciiTheme="minorHAnsi" w:hAnsiTheme="minorHAnsi"/>
          <w:b/>
          <w:bCs/>
          <w:color w:val="000000"/>
          <w:sz w:val="20"/>
          <w:szCs w:val="20"/>
          <w:shd w:fill="auto" w:val="clear"/>
        </w:rPr>
        <w:t>, l'utilisateur doit obtenir l'autorisation de la DSI en remplissant le formulaire de demande approprié.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Utilisation des </w:t>
      </w:r>
      <w:r>
        <w:rPr>
          <w:b/>
          <w:bCs/>
        </w:rPr>
        <w:t>équipement</w:t>
      </w:r>
      <w:r>
        <w:rPr>
          <w:b/>
          <w:bCs/>
        </w:rPr>
        <w:t xml:space="preserve"> </w:t>
      </w:r>
      <w:r>
        <w:rPr>
          <w:b/>
          <w:bCs/>
        </w:rPr>
        <w:t>m</w:t>
      </w:r>
      <w:r>
        <w:rPr>
          <w:b/>
          <w:bCs/>
        </w:rPr>
        <w:t>obiles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Lors de l'utilisation des ressources informatiques en dehors des locaux de l'entreprise :</w:t>
      </w:r>
    </w:p>
    <w:p>
      <w:pPr>
        <w:pStyle w:val="Normal"/>
        <w:numPr>
          <w:ilvl w:val="0"/>
          <w:numId w:val="10"/>
        </w:numPr>
        <w:rPr>
          <w:b w:val="false"/>
          <w:b w:val="false"/>
          <w:bCs w:val="false"/>
        </w:rPr>
      </w:pPr>
      <w:r>
        <w:rPr>
          <w:b w:val="false"/>
          <w:bCs w:val="false"/>
        </w:rPr>
        <w:t>Les ressources informatiques doivent être utilisés principalement pour des tâches professionnelles.</w:t>
      </w:r>
    </w:p>
    <w:p>
      <w:pPr>
        <w:pStyle w:val="Normal"/>
        <w:numPr>
          <w:ilvl w:val="0"/>
          <w:numId w:val="10"/>
        </w:numPr>
        <w:rPr>
          <w:b w:val="false"/>
          <w:b w:val="false"/>
          <w:bCs w:val="false"/>
        </w:rPr>
      </w:pPr>
      <w:r>
        <w:rPr>
          <w:b w:val="false"/>
          <w:bCs w:val="false"/>
        </w:rPr>
        <w:t>Les utilisateurs doivent assurer la protection physique de leurs appareils en évitant de les laisser sans surveillance dans des lieux publics.</w:t>
      </w:r>
    </w:p>
    <w:p>
      <w:pPr>
        <w:pStyle w:val="Normal"/>
        <w:numPr>
          <w:ilvl w:val="0"/>
          <w:numId w:val="10"/>
        </w:numPr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L'utilisation de réseaux Wi-Fi publics est déconseillée. Si cela est nécessaire, les utilisateurs doivent éviter d'accéder à des informations sensibles </w:t>
      </w:r>
      <w:r>
        <w:rPr>
          <w:b w:val="false"/>
          <w:bCs w:val="false"/>
        </w:rPr>
        <w:t>de l’entreprise</w:t>
      </w:r>
      <w:r>
        <w:rPr>
          <w:b w:val="false"/>
          <w:bCs w:val="false"/>
        </w:rPr>
        <w:t>.</w:t>
      </w:r>
    </w:p>
    <w:p>
      <w:pPr>
        <w:pStyle w:val="Normal"/>
        <w:numPr>
          <w:ilvl w:val="0"/>
          <w:numId w:val="10"/>
        </w:numPr>
        <w:rPr>
          <w:b w:val="false"/>
          <w:b w:val="false"/>
          <w:bCs w:val="false"/>
        </w:rPr>
      </w:pPr>
      <w:r>
        <w:rPr>
          <w:b w:val="false"/>
          <w:bCs w:val="false"/>
        </w:rPr>
        <w:t>Tout incident de sécurité ou dysfonctionnement concernant les ressources mobiles doit être signalé immédiatement à la DSI.</w:t>
      </w:r>
    </w:p>
    <w:p>
      <w:pPr>
        <w:pStyle w:val="Normal"/>
        <w:rPr/>
      </w:pPr>
      <w:r>
        <w:rPr/>
      </w:r>
    </w:p>
    <w:p>
      <w:pPr>
        <w:pStyle w:val="Titre2"/>
        <w:rPr>
          <w:rFonts w:eastAsia="Times New Roman"/>
          <w:lang w:eastAsia="fr-FR"/>
        </w:rPr>
      </w:pPr>
      <w:bookmarkStart w:id="14" w:name="_Toc172197851"/>
      <w:r>
        <w:rPr>
          <w:rFonts w:eastAsia="Times New Roman"/>
          <w:lang w:eastAsia="fr-FR"/>
        </w:rPr>
        <w:t>Confidentialité</w:t>
      </w:r>
      <w:bookmarkEnd w:id="14"/>
    </w:p>
    <w:p>
      <w:pPr>
        <w:pStyle w:val="Normal"/>
        <w:rPr/>
      </w:pPr>
      <w:r>
        <w:rPr/>
        <w:t>Les informations sensibles doivent être accessibles uniquement aux personnes autorisées. Il est interdit de partager des informations confidentielles avec des personnes non autorisées.</w:t>
      </w:r>
    </w:p>
    <w:p>
      <w:pPr>
        <w:pStyle w:val="Titre2"/>
        <w:rPr>
          <w:rFonts w:eastAsia="Times New Roman"/>
          <w:lang w:eastAsia="fr-FR"/>
        </w:rPr>
      </w:pPr>
      <w:bookmarkStart w:id="15" w:name="_Toc172197852"/>
      <w:r>
        <w:rPr>
          <w:rFonts w:eastAsia="Times New Roman"/>
          <w:lang w:eastAsia="fr-FR"/>
        </w:rPr>
        <w:t>Formation et sensibilisation</w:t>
      </w:r>
      <w:bookmarkEnd w:id="15"/>
    </w:p>
    <w:p>
      <w:pPr>
        <w:pStyle w:val="Normal"/>
        <w:rPr>
          <w:lang w:eastAsia="fr-FR"/>
        </w:rPr>
      </w:pPr>
      <w:r>
        <w:rPr>
          <w:lang w:eastAsia="fr-FR"/>
        </w:rPr>
        <w:t xml:space="preserve">Des actions de sensibilisation et de formation à la sécurité informatique seront menées régulièrement auprès des collaborateurs de NETBYUS. 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6" w:name="_Toc172197853"/>
      <w:r>
        <w:rPr>
          <w:rFonts w:eastAsia="Times New Roman"/>
          <w:lang w:eastAsia="fr-FR"/>
        </w:rPr>
        <w:t>Sanctions</w:t>
      </w:r>
      <w:bookmarkEnd w:id="16"/>
    </w:p>
    <w:p>
      <w:pPr>
        <w:pStyle w:val="Normal"/>
        <w:rPr>
          <w:lang w:eastAsia="fr-FR"/>
        </w:rPr>
      </w:pPr>
      <w:r>
        <w:rPr/>
        <w:t>Le non-respect de cette charte peut entraîner des sanctions disciplinaires allant de l'avertissement à la suspension ou au licenciement, selon la gravité de l'infraction.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7" w:name="_Toc172197854"/>
      <w:r>
        <w:rPr>
          <w:rFonts w:eastAsia="Times New Roman"/>
          <w:lang w:eastAsia="fr-FR"/>
        </w:rPr>
        <w:t>Entrée en vigueur</w:t>
      </w:r>
      <w:bookmarkEnd w:id="17"/>
    </w:p>
    <w:p>
      <w:pPr>
        <w:pStyle w:val="Normal"/>
        <w:rPr>
          <w:lang w:eastAsia="fr-FR"/>
        </w:rPr>
      </w:pPr>
      <w:r>
        <w:rPr>
          <w:lang w:eastAsia="fr-FR"/>
        </w:rPr>
        <w:t>La Charte entre en vigueur à compter de sa date de diffusion.</w:t>
      </w:r>
    </w:p>
    <w:p>
      <w:pPr>
        <w:pStyle w:val="Normal"/>
        <w:rPr>
          <w:lang w:eastAsia="fr-FR"/>
        </w:rPr>
      </w:pPr>
      <w:r>
        <w:rPr>
          <w:lang w:eastAsia="fr-FR"/>
        </w:rPr>
      </w:r>
    </w:p>
    <w:p>
      <w:pPr>
        <w:pStyle w:val="Titre2"/>
        <w:rPr>
          <w:rFonts w:eastAsia="Times New Roman"/>
          <w:lang w:eastAsia="fr-FR"/>
        </w:rPr>
      </w:pPr>
      <w:bookmarkStart w:id="18" w:name="_Toc172197855"/>
      <w:r>
        <w:rPr>
          <w:rFonts w:eastAsia="Times New Roman"/>
          <w:lang w:eastAsia="fr-FR"/>
        </w:rPr>
        <w:t>Révision de la convention</w:t>
      </w:r>
      <w:bookmarkEnd w:id="18"/>
    </w:p>
    <w:p>
      <w:pPr>
        <w:pStyle w:val="Normal"/>
        <w:rPr/>
      </w:pPr>
      <w:r>
        <w:rPr/>
        <w:t>Cette charte sera régulièrement revue et mise à jour pour s'adapter aux évolutions technologiques et réglementaires. Les utilisateurs seront informés de toute modification apportée.</w:t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bCs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bCs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  <w:t>Fait à ___________, le ___________</w:t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szCs w:val="28"/>
          <w:lang w:eastAsia="fr-FR"/>
        </w:rPr>
      </w:pPr>
      <w:r>
        <w:rPr>
          <w:rFonts w:eastAsia="Times New Roman" w:cs="Calibri" w:cstheme="minorHAnsi"/>
          <w:szCs w:val="28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szCs w:val="28"/>
          <w:lang w:eastAsia="fr-FR"/>
        </w:rPr>
      </w:pPr>
      <w:r>
        <w:rPr>
          <w:rFonts w:eastAsia="Times New Roman" w:cs="Calibri" w:cstheme="minorHAnsi"/>
          <w:szCs w:val="28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szCs w:val="28"/>
          <w:lang w:eastAsia="fr-FR"/>
        </w:rPr>
      </w:pPr>
      <w:r>
        <w:rPr>
          <w:rFonts w:eastAsia="Times New Roman" w:cs="Calibri" w:cstheme="minorHAnsi"/>
          <w:b/>
          <w:bCs/>
          <w:szCs w:val="28"/>
          <w:lang w:eastAsia="fr-FR"/>
        </w:rPr>
        <w:t>Direction des Systèmes d'Information NETBYUS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5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1258"/>
    <w:pPr>
      <w:widowControl/>
      <w:bidi w:val="0"/>
      <w:spacing w:lineRule="auto" w:line="259" w:before="0" w:after="160"/>
      <w:jc w:val="left"/>
    </w:pPr>
    <w:rPr>
      <w:rFonts w:ascii="Calibri" w:hAnsi="Calibri" w:asciiTheme="minorHAnsi" w:hAnsiTheme="minorHAnsi" w:eastAsia="Calibri" w:cs=""/>
      <w:color w:val="auto"/>
      <w:kern w:val="0"/>
      <w:sz w:val="28"/>
      <w:szCs w:val="3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c85540"/>
    <w:pPr>
      <w:keepNext w:val="true"/>
      <w:keepLines/>
      <w:spacing w:before="240" w:after="0"/>
      <w:jc w:val="center"/>
      <w:outlineLvl w:val="0"/>
    </w:pPr>
    <w:rPr>
      <w:rFonts w:eastAsia="" w:cs="" w:cstheme="majorBidi" w:eastAsiaTheme="majorEastAsia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85540"/>
    <w:pPr>
      <w:keepNext w:val="true"/>
      <w:keepLines/>
      <w:spacing w:before="40" w:after="0"/>
      <w:outlineLvl w:val="1"/>
    </w:pPr>
    <w:rPr>
      <w:rFonts w:eastAsia="" w:cs="" w:cstheme="majorBidi" w:eastAsiaTheme="majorEastAsia"/>
      <w:b/>
      <w:sz w:val="3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CorpsdetexteCar" w:customStyle="1">
    <w:name w:val="Corps de texte Car"/>
    <w:basedOn w:val="DefaultParagraphFont"/>
    <w:qFormat/>
    <w:rsid w:val="00903ff7"/>
    <w:rPr>
      <w:rFonts w:ascii="Liberation Serif" w:hAnsi="Liberation Serif" w:eastAsia="Noto Serif CJK SC" w:cs="Lohit Devanagari"/>
      <w:kern w:val="2"/>
      <w:sz w:val="24"/>
      <w:szCs w:val="24"/>
      <w:lang w:eastAsia="zh-CN" w:bidi="hi-IN"/>
    </w:rPr>
  </w:style>
  <w:style w:type="character" w:styleId="Titre1Car" w:customStyle="1">
    <w:name w:val="Titre 1 Car"/>
    <w:basedOn w:val="DefaultParagraphFont"/>
    <w:uiPriority w:val="9"/>
    <w:qFormat/>
    <w:rsid w:val="00c85540"/>
    <w:rPr>
      <w:rFonts w:ascii="Calibri" w:hAnsi="Calibri" w:eastAsia="" w:cs="" w:asciiTheme="minorHAnsi" w:cstheme="majorBidi" w:eastAsiaTheme="majorEastAsia" w:hAnsiTheme="minorHAnsi"/>
      <w:b/>
      <w:sz w:val="44"/>
    </w:rPr>
  </w:style>
  <w:style w:type="character" w:styleId="Titre2Car" w:customStyle="1">
    <w:name w:val="Titre 2 Car"/>
    <w:basedOn w:val="DefaultParagraphFont"/>
    <w:uiPriority w:val="9"/>
    <w:qFormat/>
    <w:rsid w:val="00c85540"/>
    <w:rPr>
      <w:rFonts w:ascii="Calibri" w:hAnsi="Calibri" w:eastAsia="" w:cs="" w:asciiTheme="minorHAnsi" w:cstheme="majorBidi" w:eastAsiaTheme="majorEastAsia" w:hAnsiTheme="minorHAnsi"/>
      <w:b/>
      <w:sz w:val="36"/>
      <w:szCs w:val="26"/>
    </w:rPr>
  </w:style>
  <w:style w:type="character" w:styleId="Style1Car" w:customStyle="1">
    <w:name w:val="Style1 Car"/>
    <w:basedOn w:val="DefaultParagraphFont"/>
    <w:link w:val="Style12"/>
    <w:qFormat/>
    <w:rsid w:val="00541258"/>
    <w:rPr>
      <w:rFonts w:ascii="Calibri" w:hAnsi="Calibri" w:eastAsia="Times New Roman" w:cs="Calibri" w:asciiTheme="minorHAnsi" w:cstheme="minorHAnsi" w:hAnsiTheme="minorHAnsi"/>
      <w:b/>
      <w:szCs w:val="28"/>
      <w:lang w:eastAsia="fr-FR"/>
    </w:rPr>
  </w:style>
  <w:style w:type="character" w:styleId="LienInternet">
    <w:name w:val="Lien Internet"/>
    <w:basedOn w:val="DefaultParagraphFont"/>
    <w:uiPriority w:val="99"/>
    <w:unhideWhenUsed/>
    <w:rsid w:val="00233ea6"/>
    <w:rPr>
      <w:color w:val="0563C1" w:themeColor="hyperlink"/>
      <w:u w:val="single"/>
    </w:rPr>
  </w:style>
  <w:style w:type="character" w:styleId="Sautdindex">
    <w:name w:val="Saut d'index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rsid w:val="00903ff7"/>
    <w:pPr>
      <w:suppressAutoHyphens w:val="true"/>
      <w:spacing w:lineRule="auto" w:line="276" w:before="0" w:after="140"/>
    </w:pPr>
    <w:rPr>
      <w:rFonts w:ascii="Liberation Serif" w:hAnsi="Liberation Serif" w:eastAsia="Noto Serif CJK SC" w:cs="Lohit Devanagari"/>
      <w:kern w:val="2"/>
      <w:sz w:val="24"/>
      <w:szCs w:val="24"/>
      <w:lang w:eastAsia="zh-CN" w:bidi="hi-IN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903ff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Style12" w:customStyle="1">
    <w:name w:val="Style1"/>
    <w:basedOn w:val="Normal"/>
    <w:link w:val="Style1Car"/>
    <w:qFormat/>
    <w:rsid w:val="00541258"/>
    <w:pPr>
      <w:spacing w:lineRule="auto" w:line="240" w:beforeAutospacing="1" w:afterAutospacing="1"/>
    </w:pPr>
    <w:rPr>
      <w:rFonts w:eastAsia="Times New Roman" w:cs="Calibri" w:cstheme="minorHAnsi"/>
      <w:b/>
      <w:szCs w:val="28"/>
      <w:lang w:eastAsia="fr-FR"/>
    </w:rPr>
  </w:style>
  <w:style w:type="paragraph" w:styleId="ListParagraph">
    <w:name w:val="List Paragraph"/>
    <w:basedOn w:val="Normal"/>
    <w:uiPriority w:val="34"/>
    <w:qFormat/>
    <w:rsid w:val="00370d29"/>
    <w:pPr>
      <w:spacing w:before="0" w:after="160"/>
      <w:ind w:left="720" w:hanging="0"/>
      <w:contextualSpacing/>
    </w:pPr>
    <w:rPr/>
  </w:style>
  <w:style w:type="paragraph" w:styleId="Indexlexicaltitre">
    <w:name w:val="Index Heading"/>
    <w:basedOn w:val="Titre"/>
    <w:pPr/>
    <w:rPr/>
  </w:style>
  <w:style w:type="paragraph" w:styleId="Titredetabledesmatires">
    <w:name w:val="TOC Heading"/>
    <w:basedOn w:val="Titre1"/>
    <w:next w:val="Normal"/>
    <w:uiPriority w:val="39"/>
    <w:unhideWhenUsed/>
    <w:qFormat/>
    <w:rsid w:val="00233ea6"/>
    <w:pPr>
      <w:jc w:val="left"/>
      <w:outlineLvl w:val="9"/>
    </w:pPr>
    <w:rPr>
      <w:rFonts w:ascii="Calibri Light" w:hAnsi="Calibri Light" w:asciiTheme="majorHAnsi" w:hAnsiTheme="majorHAnsi"/>
      <w:b w:val="false"/>
      <w:color w:val="2F5496" w:themeColor="accent1" w:themeShade="bf"/>
      <w:sz w:val="32"/>
      <w:lang w:eastAsia="fr-FR"/>
    </w:rPr>
  </w:style>
  <w:style w:type="paragraph" w:styleId="Tabledesmatiresniveau1">
    <w:name w:val="TOC 1"/>
    <w:basedOn w:val="Normal"/>
    <w:next w:val="Normal"/>
    <w:autoRedefine/>
    <w:uiPriority w:val="39"/>
    <w:unhideWhenUsed/>
    <w:rsid w:val="00233ea6"/>
    <w:pPr>
      <w:spacing w:before="0" w:after="100"/>
    </w:pPr>
    <w:rPr/>
  </w:style>
  <w:style w:type="paragraph" w:styleId="Tabledesmatiresniveau2">
    <w:name w:val="TOC 2"/>
    <w:basedOn w:val="Normal"/>
    <w:next w:val="Normal"/>
    <w:autoRedefine/>
    <w:uiPriority w:val="39"/>
    <w:unhideWhenUsed/>
    <w:rsid w:val="00233ea6"/>
    <w:pPr>
      <w:spacing w:before="0" w:after="100"/>
      <w:ind w:left="28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LibreOffice/7.3.7.2$Linux_X86_64 LibreOffice_project/30$Build-2</Application>
  <AppVersion>15.0000</AppVersion>
  <Pages>7</Pages>
  <Words>972</Words>
  <Characters>6107</Characters>
  <CharactersWithSpaces>6959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fr-FR</dc:language>
  <cp:lastModifiedBy/>
  <dcterms:modified xsi:type="dcterms:W3CDTF">2024-07-18T17:00:06Z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