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widowControl w:val="false"/>
        <w:spacing w:before="240" w:after="96"/>
        <w:rPr>
          <w:rFonts w:cs="Times New Roman"/>
          <w:szCs w:val="24"/>
        </w:rPr>
      </w:pPr>
      <w:r>
        <w:rPr>
          <w:rFonts w:cs="Times New Roman"/>
          <w:szCs w:val="24"/>
        </w:rPr>
        <mc:AlternateContent>
          <mc:Choice Requires="wps">
            <w:drawing>
              <wp:anchor behindDoc="0" distT="0" distB="0" distL="89535" distR="89535" simplePos="0" locked="0" layoutInCell="0" allowOverlap="1" relativeHeight="52">
                <wp:simplePos x="0" y="0"/>
                <wp:positionH relativeFrom="margin">
                  <wp:align>center</wp:align>
                </wp:positionH>
                <wp:positionV relativeFrom="paragraph">
                  <wp:posOffset>-87630</wp:posOffset>
                </wp:positionV>
                <wp:extent cx="6884670" cy="5351780"/>
                <wp:effectExtent l="0" t="0" r="0" b="0"/>
                <wp:wrapSquare wrapText="bothSides"/>
                <wp:docPr id="1" name="Frame1"/>
                <a:graphic xmlns:a="http://schemas.openxmlformats.org/drawingml/2006/main">
                  <a:graphicData uri="http://schemas.microsoft.com/office/word/2010/wordprocessingShape">
                    <wps:wsp>
                      <wps:cNvSpPr/>
                      <wps:spPr>
                        <a:xfrm>
                          <a:off x="0" y="0"/>
                          <a:ext cx="6884640" cy="5351760"/>
                        </a:xfrm>
                        <a:prstGeom prst="rect">
                          <a:avLst/>
                        </a:prstGeom>
                        <a:noFill/>
                        <a:ln w="0">
                          <a:noFill/>
                        </a:ln>
                      </wps:spPr>
                      <wps:style>
                        <a:lnRef idx="0"/>
                        <a:fillRef idx="0"/>
                        <a:effectRef idx="0"/>
                        <a:fontRef idx="minor"/>
                      </wps:style>
                      <wps:txbx>
                        <w:txbxContent>
                          <w:tbl>
                            <w:tblPr>
                              <w:tblW w:w="10842" w:type="dxa"/>
                              <w:jc w:val="center"/>
                              <w:tblInd w:w="0" w:type="dxa"/>
                              <w:tblLayout w:type="fixed"/>
                              <w:tblCellMar>
                                <w:top w:w="0" w:type="dxa"/>
                                <w:left w:w="0" w:type="dxa"/>
                                <w:bottom w:w="0" w:type="dxa"/>
                                <w:right w:w="0" w:type="dxa"/>
                              </w:tblCellMar>
                            </w:tblPr>
                            <w:tblGrid>
                              <w:gridCol w:w="690"/>
                              <w:gridCol w:w="10151"/>
                            </w:tblGrid>
                            <w:tr>
                              <w:trPr>
                                <w:trHeight w:val="7501" w:hRule="atLeast"/>
                              </w:trPr>
                              <w:tc>
                                <w:tcPr>
                                  <w:tcW w:w="690"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1"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Style w:val="StrongEmphasis"/>
                                      <w:rFonts w:eastAsia="Calibri" w:cs="Times New Roman"/>
                                      <w:b/>
                                      <w:bCs/>
                                      <w:color w:val="014276"/>
                                      <w:kern w:val="0"/>
                                      <w:sz w:val="44"/>
                                      <w:szCs w:val="44"/>
                                      <w:lang w:val="fr-FR" w:eastAsia="en-US" w:bidi="ar-SA"/>
                                    </w:rPr>
                                    <w:t>POLITIQUE DE SÉCURITÉ DES SERVEURS</w:t>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color w:val="000000"/>
                              </w:rPr>
                            </w:r>
                          </w:p>
                        </w:txbxContent>
                      </wps:txbx>
                      <wps:bodyPr lIns="0" rIns="0" tIns="0" bIns="0" anchor="t">
                        <a:noAutofit/>
                      </wps:bodyPr>
                    </wps:wsp>
                  </a:graphicData>
                </a:graphic>
              </wp:anchor>
            </w:drawing>
          </mc:Choice>
          <mc:Fallback>
            <w:pict>
              <v:rect id="shape_0" ID="Frame1" path="m0,0l-2147483645,0l-2147483645,-2147483646l0,-2147483646xe" stroked="f" o:allowincell="f" style="position:absolute;margin-left:-44.25pt;margin-top:-6.9pt;width:542.05pt;height:421.35pt;mso-wrap-style:none;v-text-anchor:middle;mso-position-horizontal:center;mso-position-horizontal-relative:margin">
                <v:fill o:detectmouseclick="t" on="false"/>
                <v:stroke color="#3465a4" joinstyle="round" endcap="flat"/>
                <v:textbox>
                  <w:txbxContent>
                    <w:tbl>
                      <w:tblPr>
                        <w:tblW w:w="10842" w:type="dxa"/>
                        <w:jc w:val="center"/>
                        <w:tblInd w:w="0" w:type="dxa"/>
                        <w:tblLayout w:type="fixed"/>
                        <w:tblCellMar>
                          <w:top w:w="0" w:type="dxa"/>
                          <w:left w:w="0" w:type="dxa"/>
                          <w:bottom w:w="0" w:type="dxa"/>
                          <w:right w:w="0" w:type="dxa"/>
                        </w:tblCellMar>
                      </w:tblPr>
                      <w:tblGrid>
                        <w:gridCol w:w="690"/>
                        <w:gridCol w:w="10151"/>
                      </w:tblGrid>
                      <w:tr>
                        <w:trPr>
                          <w:trHeight w:val="7501" w:hRule="atLeast"/>
                        </w:trPr>
                        <w:tc>
                          <w:tcPr>
                            <w:tcW w:w="690"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1"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Style w:val="StrongEmphasis"/>
                                <w:rFonts w:eastAsia="Calibri" w:cs="Times New Roman"/>
                                <w:b/>
                                <w:bCs/>
                                <w:color w:val="014276"/>
                                <w:kern w:val="0"/>
                                <w:sz w:val="44"/>
                                <w:szCs w:val="44"/>
                                <w:lang w:val="fr-FR" w:eastAsia="en-US" w:bidi="ar-SA"/>
                              </w:rPr>
                              <w:t>POLITIQUE DE SÉCURITÉ DES SERVEURS</w:t>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color w:val="000000"/>
                        </w:rPr>
                      </w:r>
                    </w:p>
                  </w:txbxContent>
                </v:textbox>
                <w10:wrap type="square"/>
              </v:rect>
            </w:pict>
          </mc:Fallback>
        </mc:AlternateContent>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Heading1"/>
        <w:spacing w:before="240" w:after="96"/>
        <w:ind w:left="0" w:hanging="0"/>
        <w:rPr/>
      </w:pPr>
      <w:bookmarkStart w:id="0" w:name="__RefHeading___Toc9058_2626373462"/>
      <w:bookmarkStart w:id="1" w:name="_Toc224992377"/>
      <w:bookmarkStart w:id="2" w:name="_Toc226029974"/>
      <w:bookmarkStart w:id="3" w:name="_Toc226109670"/>
      <w:bookmarkStart w:id="4" w:name="_Toc226029670"/>
      <w:bookmarkStart w:id="5" w:name="_Toc226200435"/>
      <w:bookmarkEnd w:id="0"/>
      <w:r>
        <w:rPr>
          <w:rFonts w:cs="Times New Roman"/>
          <w:caps w:val="false"/>
          <w:smallCaps w:val="false"/>
          <w:sz w:val="32"/>
          <w:szCs w:val="32"/>
          <w:u w:val="single"/>
        </w:rPr>
        <w:t>TABLE DES MATIERES</w:t>
      </w:r>
      <w:bookmarkEnd w:id="1"/>
      <w:bookmarkEnd w:id="2"/>
      <w:bookmarkEnd w:id="3"/>
      <w:bookmarkEnd w:id="4"/>
      <w:bookmarkEnd w:id="5"/>
    </w:p>
    <w:sdt>
      <w:sdtPr>
        <w:docPartObj>
          <w:docPartGallery w:val="Table of Contents"/>
          <w:docPartUnique w:val="true"/>
        </w:docPartObj>
      </w:sdtPr>
      <w:sdtContent>
        <w:p>
          <w:pPr>
            <w:pStyle w:val="Contents1"/>
            <w:tabs>
              <w:tab w:val="clear" w:pos="9376"/>
              <w:tab w:val="right" w:pos="9072" w:leader="dot"/>
            </w:tabs>
            <w:rPr/>
          </w:pPr>
          <w:r>
            <w:fldChar w:fldCharType="begin"/>
          </w:r>
          <w:r>
            <w:rPr>
              <w:rStyle w:val="IndexLink"/>
            </w:rPr>
            <w:instrText xml:space="preserve"> TOC \f \o "1-9" \h</w:instrText>
          </w:r>
          <w:r>
            <w:rPr>
              <w:rStyle w:val="IndexLink"/>
            </w:rPr>
            <w:fldChar w:fldCharType="separate"/>
          </w:r>
          <w:hyperlink w:anchor="__RefHeading___Toc9058_2626373462">
            <w:r>
              <w:rPr>
                <w:rStyle w:val="IndexLink"/>
              </w:rPr>
              <w:t>TABLE DES MATIERES</w:t>
              <w:tab/>
              <w:t>2</w:t>
            </w:r>
          </w:hyperlink>
        </w:p>
        <w:p>
          <w:pPr>
            <w:pStyle w:val="Contents1"/>
            <w:tabs>
              <w:tab w:val="clear" w:pos="9376"/>
              <w:tab w:val="right" w:pos="9072" w:leader="dot"/>
            </w:tabs>
            <w:rPr/>
          </w:pPr>
          <w:hyperlink w:anchor="__RefHeading___Toc57912_2150708505">
            <w:r>
              <w:rPr>
                <w:rStyle w:val="IndexLink"/>
              </w:rPr>
              <w:t>PRÉAMBULE</w:t>
              <w:tab/>
              <w:t>5</w:t>
            </w:r>
          </w:hyperlink>
        </w:p>
        <w:p>
          <w:pPr>
            <w:pStyle w:val="Contents1"/>
            <w:tabs>
              <w:tab w:val="clear" w:pos="9376"/>
              <w:tab w:val="right" w:pos="9072" w:leader="dot"/>
            </w:tabs>
            <w:rPr/>
          </w:pPr>
          <w:hyperlink w:anchor="__RefHeading___Toc57914_2150708505">
            <w:r>
              <w:rPr>
                <w:rStyle w:val="IndexLink"/>
              </w:rPr>
              <w:t>OBJECTIFS DE SÉCURITÉ</w:t>
              <w:tab/>
              <w:t>6</w:t>
            </w:r>
          </w:hyperlink>
        </w:p>
        <w:p>
          <w:pPr>
            <w:pStyle w:val="Contents2"/>
            <w:tabs>
              <w:tab w:val="clear" w:pos="9062"/>
              <w:tab w:val="right" w:pos="9072" w:leader="dot"/>
            </w:tabs>
            <w:rPr/>
          </w:pPr>
          <w:hyperlink w:anchor="__RefHeading___Toc57916_2150708505">
            <w:r>
              <w:rPr>
                <w:rStyle w:val="IndexLink"/>
              </w:rPr>
              <w:t>Objectifs généraux</w:t>
              <w:tab/>
              <w:t>6</w:t>
            </w:r>
          </w:hyperlink>
        </w:p>
        <w:p>
          <w:pPr>
            <w:pStyle w:val="Contents2"/>
            <w:tabs>
              <w:tab w:val="clear" w:pos="9062"/>
              <w:tab w:val="right" w:pos="9072" w:leader="dot"/>
            </w:tabs>
            <w:rPr/>
          </w:pPr>
          <w:hyperlink w:anchor="__RefHeading___Toc57918_2150708505">
            <w:r>
              <w:rPr>
                <w:rStyle w:val="IndexLink"/>
              </w:rPr>
              <w:t>Objectifs spécifiques</w:t>
              <w:tab/>
              <w:t>6</w:t>
            </w:r>
          </w:hyperlink>
        </w:p>
        <w:p>
          <w:pPr>
            <w:pStyle w:val="Contents1"/>
            <w:tabs>
              <w:tab w:val="clear" w:pos="9376"/>
              <w:tab w:val="right" w:pos="9072" w:leader="dot"/>
            </w:tabs>
            <w:rPr/>
          </w:pPr>
          <w:hyperlink w:anchor="__RefHeading___Toc57920_2150708505">
            <w:r>
              <w:rPr>
                <w:rStyle w:val="IndexLink"/>
              </w:rPr>
              <w:t>PRINCIPES DIRECTEURS</w:t>
              <w:tab/>
              <w:t>6</w:t>
            </w:r>
          </w:hyperlink>
        </w:p>
        <w:p>
          <w:pPr>
            <w:pStyle w:val="Contents2"/>
            <w:tabs>
              <w:tab w:val="clear" w:pos="9062"/>
              <w:tab w:val="right" w:pos="9072" w:leader="dot"/>
            </w:tabs>
            <w:rPr/>
          </w:pPr>
          <w:hyperlink w:anchor="__RefHeading___Toc57922_2150708505">
            <w:r>
              <w:rPr>
                <w:rStyle w:val="IndexLink"/>
              </w:rPr>
              <w:t>Défense en profondeur</w:t>
              <w:tab/>
              <w:t>6</w:t>
            </w:r>
          </w:hyperlink>
        </w:p>
        <w:p>
          <w:pPr>
            <w:pStyle w:val="Contents2"/>
            <w:tabs>
              <w:tab w:val="clear" w:pos="9062"/>
              <w:tab w:val="right" w:pos="9072" w:leader="dot"/>
            </w:tabs>
            <w:rPr/>
          </w:pPr>
          <w:hyperlink w:anchor="__RefHeading___Toc57924_2150708505">
            <w:r>
              <w:rPr>
                <w:rStyle w:val="IndexLink"/>
              </w:rPr>
              <w:t>Principe du moindre privilège</w:t>
              <w:tab/>
              <w:t>7</w:t>
            </w:r>
          </w:hyperlink>
        </w:p>
        <w:p>
          <w:pPr>
            <w:pStyle w:val="Contents2"/>
            <w:tabs>
              <w:tab w:val="clear" w:pos="9062"/>
              <w:tab w:val="right" w:pos="9072" w:leader="dot"/>
            </w:tabs>
            <w:rPr/>
          </w:pPr>
          <w:hyperlink w:anchor="__RefHeading___Toc57926_2150708505">
            <w:r>
              <w:rPr>
                <w:rStyle w:val="IndexLink"/>
              </w:rPr>
              <w:t>Séparation des environnements</w:t>
              <w:tab/>
              <w:t>8</w:t>
            </w:r>
          </w:hyperlink>
        </w:p>
        <w:p>
          <w:pPr>
            <w:pStyle w:val="Contents2"/>
            <w:tabs>
              <w:tab w:val="clear" w:pos="9062"/>
              <w:tab w:val="right" w:pos="9072" w:leader="dot"/>
            </w:tabs>
            <w:rPr/>
          </w:pPr>
          <w:hyperlink w:anchor="__RefHeading___Toc57928_2150708505">
            <w:r>
              <w:rPr>
                <w:rStyle w:val="IndexLink"/>
              </w:rPr>
              <w:t>Homogénéité et standardisation</w:t>
              <w:tab/>
              <w:t>8</w:t>
            </w:r>
          </w:hyperlink>
        </w:p>
        <w:p>
          <w:pPr>
            <w:pStyle w:val="Contents2"/>
            <w:tabs>
              <w:tab w:val="clear" w:pos="9062"/>
              <w:tab w:val="right" w:pos="9072" w:leader="dot"/>
            </w:tabs>
            <w:rPr/>
          </w:pPr>
          <w:hyperlink w:anchor="__RefHeading___Toc57930_2150708505">
            <w:r>
              <w:rPr>
                <w:rStyle w:val="IndexLink"/>
              </w:rPr>
              <w:t>Traçabilité et responsabilité</w:t>
              <w:tab/>
              <w:t>8</w:t>
            </w:r>
          </w:hyperlink>
        </w:p>
        <w:p>
          <w:pPr>
            <w:pStyle w:val="Contents1"/>
            <w:tabs>
              <w:tab w:val="clear" w:pos="9376"/>
              <w:tab w:val="right" w:pos="9072" w:leader="dot"/>
            </w:tabs>
            <w:rPr/>
          </w:pPr>
          <w:hyperlink w:anchor="__RefHeading___Toc57932_2150708505">
            <w:r>
              <w:rPr>
                <w:rStyle w:val="IndexLink"/>
              </w:rPr>
              <w:t>CHAMP D'APPLICATION</w:t>
              <w:tab/>
              <w:t>9</w:t>
            </w:r>
          </w:hyperlink>
        </w:p>
        <w:p>
          <w:pPr>
            <w:pStyle w:val="Contents2"/>
            <w:tabs>
              <w:tab w:val="clear" w:pos="9062"/>
              <w:tab w:val="right" w:pos="9072" w:leader="dot"/>
            </w:tabs>
            <w:rPr/>
          </w:pPr>
          <w:hyperlink w:anchor="__RefHeading___Toc57934_2150708505">
            <w:r>
              <w:rPr>
                <w:rStyle w:val="IndexLink"/>
              </w:rPr>
              <w:t>Périmètre technique</w:t>
              <w:tab/>
              <w:t>9</w:t>
            </w:r>
          </w:hyperlink>
        </w:p>
        <w:p>
          <w:pPr>
            <w:pStyle w:val="Contents2"/>
            <w:tabs>
              <w:tab w:val="clear" w:pos="9062"/>
              <w:tab w:val="right" w:pos="9072" w:leader="dot"/>
            </w:tabs>
            <w:rPr/>
          </w:pPr>
          <w:hyperlink w:anchor="__RefHeading___Toc57936_2150708505">
            <w:r>
              <w:rPr>
                <w:rStyle w:val="IndexLink"/>
              </w:rPr>
              <w:t>Périmètre organisationnel</w:t>
              <w:tab/>
              <w:t>9</w:t>
            </w:r>
          </w:hyperlink>
        </w:p>
        <w:p>
          <w:pPr>
            <w:pStyle w:val="Contents2"/>
            <w:tabs>
              <w:tab w:val="clear" w:pos="9062"/>
              <w:tab w:val="right" w:pos="9072" w:leader="dot"/>
            </w:tabs>
            <w:rPr/>
          </w:pPr>
          <w:hyperlink w:anchor="__RefHeading___Toc57938_2150708505">
            <w:r>
              <w:rPr>
                <w:rStyle w:val="IndexLink"/>
              </w:rPr>
              <w:t>Données concernées</w:t>
              <w:tab/>
              <w:t>9</w:t>
            </w:r>
          </w:hyperlink>
        </w:p>
        <w:p>
          <w:pPr>
            <w:pStyle w:val="Contents1"/>
            <w:tabs>
              <w:tab w:val="clear" w:pos="9376"/>
              <w:tab w:val="right" w:pos="9072" w:leader="dot"/>
            </w:tabs>
            <w:rPr/>
          </w:pPr>
          <w:hyperlink w:anchor="__RefHeading___Toc57940_2150708505">
            <w:r>
              <w:rPr>
                <w:rStyle w:val="IndexLink"/>
              </w:rPr>
              <w:t>RESPONSABILITÉS</w:t>
              <w:tab/>
              <w:t>10</w:t>
            </w:r>
          </w:hyperlink>
        </w:p>
        <w:p>
          <w:pPr>
            <w:pStyle w:val="Contents2"/>
            <w:tabs>
              <w:tab w:val="clear" w:pos="9062"/>
              <w:tab w:val="right" w:pos="9072" w:leader="dot"/>
            </w:tabs>
            <w:rPr/>
          </w:pPr>
          <w:hyperlink w:anchor="__RefHeading___Toc57942_2150708505">
            <w:r>
              <w:rPr>
                <w:rStyle w:val="IndexLink"/>
              </w:rPr>
              <w:t>Direction Générale</w:t>
              <w:tab/>
              <w:t>10</w:t>
            </w:r>
          </w:hyperlink>
        </w:p>
        <w:p>
          <w:pPr>
            <w:pStyle w:val="Contents2"/>
            <w:tabs>
              <w:tab w:val="clear" w:pos="9062"/>
              <w:tab w:val="right" w:pos="9072" w:leader="dot"/>
            </w:tabs>
            <w:rPr/>
          </w:pPr>
          <w:hyperlink w:anchor="__RefHeading___Toc57944_2150708505">
            <w:r>
              <w:rPr>
                <w:rStyle w:val="IndexLink"/>
              </w:rPr>
              <w:t>Responsable Services Internes</w:t>
              <w:tab/>
              <w:t>10</w:t>
            </w:r>
          </w:hyperlink>
        </w:p>
        <w:p>
          <w:pPr>
            <w:pStyle w:val="Contents2"/>
            <w:tabs>
              <w:tab w:val="clear" w:pos="9062"/>
              <w:tab w:val="right" w:pos="9072" w:leader="dot"/>
            </w:tabs>
            <w:rPr/>
          </w:pPr>
          <w:hyperlink w:anchor="__RefHeading___Toc57946_2150708505">
            <w:r>
              <w:rPr>
                <w:rStyle w:val="IndexLink"/>
              </w:rPr>
              <w:t>Administrateurs systèmes</w:t>
              <w:tab/>
              <w:t>11</w:t>
            </w:r>
          </w:hyperlink>
        </w:p>
        <w:p>
          <w:pPr>
            <w:pStyle w:val="Contents2"/>
            <w:tabs>
              <w:tab w:val="clear" w:pos="9062"/>
              <w:tab w:val="right" w:pos="9072" w:leader="dot"/>
            </w:tabs>
            <w:rPr/>
          </w:pPr>
          <w:hyperlink w:anchor="__RefHeading___Toc57948_2150708505">
            <w:r>
              <w:rPr>
                <w:rStyle w:val="IndexLink"/>
              </w:rPr>
              <w:t>Propriétaires métier</w:t>
              <w:tab/>
              <w:t>11</w:t>
            </w:r>
          </w:hyperlink>
        </w:p>
        <w:p>
          <w:pPr>
            <w:pStyle w:val="Contents2"/>
            <w:tabs>
              <w:tab w:val="clear" w:pos="9062"/>
              <w:tab w:val="right" w:pos="9072" w:leader="dot"/>
            </w:tabs>
            <w:rPr/>
          </w:pPr>
          <w:hyperlink w:anchor="__RefHeading___Toc57950_2150708505">
            <w:r>
              <w:rPr>
                <w:rStyle w:val="IndexLink"/>
              </w:rPr>
              <w:t>Utilisateurs avec accès serveurs</w:t>
              <w:tab/>
              <w:t>11</w:t>
            </w:r>
          </w:hyperlink>
        </w:p>
        <w:p>
          <w:pPr>
            <w:pStyle w:val="Contents1"/>
            <w:tabs>
              <w:tab w:val="clear" w:pos="9376"/>
              <w:tab w:val="right" w:pos="9072" w:leader="dot"/>
            </w:tabs>
            <w:rPr/>
          </w:pPr>
          <w:hyperlink w:anchor="__RefHeading___Toc57952_2150708505">
            <w:r>
              <w:rPr>
                <w:rStyle w:val="IndexLink"/>
              </w:rPr>
              <w:t>RÈGLES DE SÉCURITÉ FONDAMENTALES</w:t>
              <w:tab/>
              <w:t>12</w:t>
            </w:r>
          </w:hyperlink>
        </w:p>
        <w:p>
          <w:pPr>
            <w:pStyle w:val="Contents2"/>
            <w:tabs>
              <w:tab w:val="clear" w:pos="9062"/>
              <w:tab w:val="right" w:pos="9072" w:leader="dot"/>
            </w:tabs>
            <w:rPr/>
          </w:pPr>
          <w:hyperlink w:anchor="__RefHeading___Toc57954_2150708505">
            <w:r>
              <w:rPr>
                <w:rStyle w:val="IndexLink"/>
              </w:rPr>
              <w:t>Contrôle d'accès</w:t>
              <w:tab/>
              <w:t>12</w:t>
            </w:r>
          </w:hyperlink>
        </w:p>
        <w:p>
          <w:pPr>
            <w:pStyle w:val="Contents4"/>
            <w:tabs>
              <w:tab w:val="clear" w:pos="8222"/>
              <w:tab w:val="right" w:pos="9072" w:leader="dot"/>
            </w:tabs>
            <w:rPr/>
          </w:pPr>
          <w:hyperlink w:anchor="__RefHeading___Toc57956_2150708505">
            <w:r>
              <w:rPr>
                <w:rStyle w:val="IndexLink"/>
              </w:rPr>
              <w:t>Comptes utilisateurs</w:t>
              <w:tab/>
              <w:t>12</w:t>
            </w:r>
          </w:hyperlink>
        </w:p>
        <w:p>
          <w:pPr>
            <w:pStyle w:val="Contents4"/>
            <w:tabs>
              <w:tab w:val="clear" w:pos="8222"/>
              <w:tab w:val="right" w:pos="9072" w:leader="dot"/>
            </w:tabs>
            <w:rPr/>
          </w:pPr>
          <w:hyperlink w:anchor="__RefHeading___Toc57958_2150708505">
            <w:r>
              <w:rPr>
                <w:rStyle w:val="IndexLink"/>
                <w:i w:val="false"/>
                <w:iCs w:val="false"/>
              </w:rPr>
              <w:t>Authentification</w:t>
            </w:r>
            <w:r>
              <w:rPr>
                <w:rStyle w:val="IndexLink"/>
              </w:rPr>
              <w:tab/>
              <w:t>12</w:t>
            </w:r>
          </w:hyperlink>
        </w:p>
        <w:p>
          <w:pPr>
            <w:pStyle w:val="Contents4"/>
            <w:tabs>
              <w:tab w:val="clear" w:pos="8222"/>
              <w:tab w:val="right" w:pos="9072" w:leader="dot"/>
            </w:tabs>
            <w:rPr/>
          </w:pPr>
          <w:hyperlink w:anchor="__RefHeading___Toc57960_2150708505">
            <w:r>
              <w:rPr>
                <w:rStyle w:val="IndexLink"/>
                <w:i w:val="false"/>
                <w:iCs w:val="false"/>
              </w:rPr>
              <w:t>Niveaux de privilèges</w:t>
            </w:r>
            <w:r>
              <w:rPr>
                <w:rStyle w:val="IndexLink"/>
              </w:rPr>
              <w:tab/>
              <w:t>12</w:t>
            </w:r>
          </w:hyperlink>
        </w:p>
        <w:p>
          <w:pPr>
            <w:pStyle w:val="Contents4"/>
            <w:tabs>
              <w:tab w:val="clear" w:pos="8222"/>
              <w:tab w:val="right" w:pos="9072" w:leader="dot"/>
            </w:tabs>
            <w:rPr/>
          </w:pPr>
          <w:hyperlink w:anchor="__RefHeading___Toc57962_2150708505">
            <w:r>
              <w:rPr>
                <w:rStyle w:val="IndexLink"/>
                <w:i w:val="false"/>
                <w:iCs w:val="false"/>
              </w:rPr>
              <w:t>Revue des accès</w:t>
            </w:r>
            <w:r>
              <w:rPr>
                <w:rStyle w:val="IndexLink"/>
              </w:rPr>
              <w:tab/>
              <w:t>13</w:t>
            </w:r>
          </w:hyperlink>
        </w:p>
        <w:p>
          <w:pPr>
            <w:pStyle w:val="Contents2"/>
            <w:tabs>
              <w:tab w:val="clear" w:pos="9062"/>
              <w:tab w:val="right" w:pos="9072" w:leader="dot"/>
            </w:tabs>
            <w:rPr/>
          </w:pPr>
          <w:hyperlink w:anchor="__RefHeading___Toc57964_2150708505">
            <w:r>
              <w:rPr>
                <w:rStyle w:val="IndexLink"/>
              </w:rPr>
              <w:t>Protection réseau</w:t>
              <w:tab/>
              <w:t>13</w:t>
            </w:r>
          </w:hyperlink>
        </w:p>
        <w:p>
          <w:pPr>
            <w:pStyle w:val="Contents4"/>
            <w:tabs>
              <w:tab w:val="clear" w:pos="8222"/>
              <w:tab w:val="right" w:pos="9072" w:leader="dot"/>
            </w:tabs>
            <w:rPr/>
          </w:pPr>
          <w:hyperlink w:anchor="__RefHeading___Toc57966_2150708505">
            <w:r>
              <w:rPr>
                <w:rStyle w:val="IndexLink"/>
              </w:rPr>
              <w:t>Pare-feu</w:t>
              <w:tab/>
              <w:t>13</w:t>
            </w:r>
          </w:hyperlink>
        </w:p>
        <w:p>
          <w:pPr>
            <w:pStyle w:val="Contents4"/>
            <w:tabs>
              <w:tab w:val="clear" w:pos="8222"/>
              <w:tab w:val="right" w:pos="9072" w:leader="dot"/>
            </w:tabs>
            <w:rPr/>
          </w:pPr>
          <w:hyperlink w:anchor="__RefHeading___Toc57968_2150708505">
            <w:r>
              <w:rPr>
                <w:rStyle w:val="IndexLink"/>
              </w:rPr>
              <w:t>Protection anti-bruteforce</w:t>
              <w:tab/>
              <w:t>14</w:t>
            </w:r>
          </w:hyperlink>
        </w:p>
        <w:p>
          <w:pPr>
            <w:pStyle w:val="Contents2"/>
            <w:tabs>
              <w:tab w:val="clear" w:pos="9062"/>
              <w:tab w:val="right" w:pos="9072" w:leader="dot"/>
            </w:tabs>
            <w:rPr/>
          </w:pPr>
          <w:hyperlink w:anchor="__RefHeading___Toc57970_2150708505">
            <w:r>
              <w:rPr>
                <w:rStyle w:val="IndexLink"/>
              </w:rPr>
              <w:t>Mises à jour et correctifs</w:t>
              <w:tab/>
              <w:t>14</w:t>
            </w:r>
          </w:hyperlink>
        </w:p>
        <w:p>
          <w:pPr>
            <w:pStyle w:val="Contents2"/>
            <w:tabs>
              <w:tab w:val="clear" w:pos="9062"/>
              <w:tab w:val="right" w:pos="9072" w:leader="dot"/>
            </w:tabs>
            <w:rPr/>
          </w:pPr>
          <w:hyperlink w:anchor="__RefHeading___Toc57972_2150708505">
            <w:r>
              <w:rPr>
                <w:rStyle w:val="IndexLink"/>
              </w:rPr>
              <w:t>Logs et traçabilité</w:t>
              <w:tab/>
              <w:t>14</w:t>
            </w:r>
          </w:hyperlink>
        </w:p>
        <w:p>
          <w:pPr>
            <w:pStyle w:val="Contents2"/>
            <w:tabs>
              <w:tab w:val="clear" w:pos="9062"/>
              <w:tab w:val="right" w:pos="9072" w:leader="dot"/>
            </w:tabs>
            <w:rPr/>
          </w:pPr>
          <w:hyperlink w:anchor="__RefHeading___Toc57974_2150708505">
            <w:r>
              <w:rPr>
                <w:rStyle w:val="IndexLink"/>
              </w:rPr>
              <w:t>Conformité APDP</w:t>
              <w:tab/>
              <w:t>15</w:t>
            </w:r>
          </w:hyperlink>
        </w:p>
        <w:p>
          <w:pPr>
            <w:pStyle w:val="Contents4"/>
            <w:tabs>
              <w:tab w:val="clear" w:pos="8222"/>
              <w:tab w:val="right" w:pos="9072" w:leader="dot"/>
            </w:tabs>
            <w:rPr/>
          </w:pPr>
          <w:hyperlink w:anchor="__RefHeading___Toc57976_2150708505">
            <w:r>
              <w:rPr>
                <w:rStyle w:val="IndexLink"/>
              </w:rPr>
              <w:t>Identification des serveurs</w:t>
              <w:tab/>
              <w:t>15</w:t>
            </w:r>
          </w:hyperlink>
        </w:p>
        <w:p>
          <w:pPr>
            <w:pStyle w:val="Contents4"/>
            <w:tabs>
              <w:tab w:val="clear" w:pos="8222"/>
              <w:tab w:val="right" w:pos="9072" w:leader="dot"/>
            </w:tabs>
            <w:rPr/>
          </w:pPr>
          <w:hyperlink w:anchor="__RefHeading___Toc57978_2150708505">
            <w:r>
              <w:rPr>
                <w:rStyle w:val="IndexLink"/>
                <w:i w:val="false"/>
                <w:iCs w:val="false"/>
              </w:rPr>
              <w:t>Mesures techniques selon classification</w:t>
            </w:r>
            <w:r>
              <w:rPr>
                <w:rStyle w:val="IndexLink"/>
              </w:rPr>
              <w:tab/>
              <w:t>15</w:t>
            </w:r>
          </w:hyperlink>
        </w:p>
        <w:p>
          <w:pPr>
            <w:pStyle w:val="Contents4"/>
            <w:tabs>
              <w:tab w:val="clear" w:pos="8222"/>
              <w:tab w:val="right" w:pos="9072" w:leader="dot"/>
            </w:tabs>
            <w:rPr/>
          </w:pPr>
          <w:hyperlink w:anchor="__RefHeading___Toc57980_2150708505">
            <w:r>
              <w:rPr>
                <w:rStyle w:val="IndexLink"/>
                <w:i w:val="false"/>
                <w:iCs w:val="false"/>
              </w:rPr>
              <w:t>Notification violations</w:t>
            </w:r>
            <w:r>
              <w:rPr>
                <w:rStyle w:val="IndexLink"/>
              </w:rPr>
              <w:tab/>
              <w:t>15</w:t>
            </w:r>
          </w:hyperlink>
        </w:p>
        <w:p>
          <w:pPr>
            <w:pStyle w:val="Contents2"/>
            <w:tabs>
              <w:tab w:val="clear" w:pos="9062"/>
              <w:tab w:val="right" w:pos="9072" w:leader="dot"/>
            </w:tabs>
            <w:rPr/>
          </w:pPr>
          <w:hyperlink w:anchor="__RefHeading___Toc57982_2150708505">
            <w:r>
              <w:rPr>
                <w:rStyle w:val="IndexLink"/>
              </w:rPr>
              <w:t>Destruction sécurisée</w:t>
              <w:tab/>
              <w:t>16</w:t>
            </w:r>
          </w:hyperlink>
        </w:p>
        <w:p>
          <w:pPr>
            <w:pStyle w:val="Contents1"/>
            <w:tabs>
              <w:tab w:val="clear" w:pos="9376"/>
              <w:tab w:val="right" w:pos="9072" w:leader="dot"/>
            </w:tabs>
            <w:rPr/>
          </w:pPr>
          <w:hyperlink w:anchor="__RefHeading___Toc57984_2150708505">
            <w:r>
              <w:rPr>
                <w:rStyle w:val="IndexLink"/>
              </w:rPr>
              <w:t>CONFORMITÉ ET AUDIT</w:t>
              <w:tab/>
              <w:t>16</w:t>
            </w:r>
          </w:hyperlink>
        </w:p>
        <w:p>
          <w:pPr>
            <w:pStyle w:val="Contents2"/>
            <w:tabs>
              <w:tab w:val="clear" w:pos="9062"/>
              <w:tab w:val="right" w:pos="9072" w:leader="dot"/>
            </w:tabs>
            <w:rPr/>
          </w:pPr>
          <w:hyperlink w:anchor="__RefHeading___Toc57986_2150708505">
            <w:r>
              <w:rPr>
                <w:rStyle w:val="IndexLink"/>
              </w:rPr>
              <w:t>Conformité réglementaire</w:t>
              <w:tab/>
              <w:t>16</w:t>
            </w:r>
          </w:hyperlink>
        </w:p>
        <w:p>
          <w:pPr>
            <w:pStyle w:val="Contents2"/>
            <w:tabs>
              <w:tab w:val="clear" w:pos="9062"/>
              <w:tab w:val="right" w:pos="9072" w:leader="dot"/>
            </w:tabs>
            <w:rPr/>
          </w:pPr>
          <w:hyperlink w:anchor="__RefHeading___Toc57988_2150708505">
            <w:r>
              <w:rPr>
                <w:rStyle w:val="IndexLink"/>
              </w:rPr>
              <w:t>Audits internes</w:t>
              <w:tab/>
              <w:t>16</w:t>
            </w:r>
          </w:hyperlink>
        </w:p>
        <w:p>
          <w:pPr>
            <w:pStyle w:val="Contents2"/>
            <w:tabs>
              <w:tab w:val="clear" w:pos="9062"/>
              <w:tab w:val="right" w:pos="9072" w:leader="dot"/>
            </w:tabs>
            <w:rPr/>
          </w:pPr>
          <w:hyperlink w:anchor="__RefHeading___Toc57990_2150708505">
            <w:r>
              <w:rPr>
                <w:rStyle w:val="IndexLink"/>
              </w:rPr>
              <w:t>Audits externes</w:t>
              <w:tab/>
              <w:t>17</w:t>
            </w:r>
          </w:hyperlink>
        </w:p>
        <w:p>
          <w:pPr>
            <w:pStyle w:val="Contents2"/>
            <w:tabs>
              <w:tab w:val="clear" w:pos="9062"/>
              <w:tab w:val="right" w:pos="9072" w:leader="dot"/>
            </w:tabs>
            <w:rPr/>
          </w:pPr>
          <w:hyperlink w:anchor="__RefHeading___Toc57992_2150708505">
            <w:r>
              <w:rPr>
                <w:rStyle w:val="IndexLink"/>
              </w:rPr>
              <w:t>Non-conformités</w:t>
              <w:tab/>
              <w:t>17</w:t>
            </w:r>
          </w:hyperlink>
        </w:p>
        <w:p>
          <w:pPr>
            <w:pStyle w:val="Contents1"/>
            <w:tabs>
              <w:tab w:val="clear" w:pos="9376"/>
              <w:tab w:val="right" w:pos="9072" w:leader="dot"/>
            </w:tabs>
            <w:rPr/>
          </w:pPr>
          <w:hyperlink w:anchor="__RefHeading___Toc57994_2150708505">
            <w:r>
              <w:rPr>
                <w:rStyle w:val="IndexLink"/>
              </w:rPr>
              <w:t>GESTION DES INCIDENTS</w:t>
              <w:tab/>
              <w:t>17</w:t>
            </w:r>
          </w:hyperlink>
        </w:p>
        <w:p>
          <w:pPr>
            <w:pStyle w:val="Contents2"/>
            <w:tabs>
              <w:tab w:val="clear" w:pos="9062"/>
              <w:tab w:val="right" w:pos="9072" w:leader="dot"/>
            </w:tabs>
            <w:rPr/>
          </w:pPr>
          <w:hyperlink w:anchor="__RefHeading___Toc57996_2150708505">
            <w:r>
              <w:rPr>
                <w:rStyle w:val="IndexLink"/>
              </w:rPr>
              <w:t>Classification des incidents</w:t>
              <w:tab/>
              <w:t>17</w:t>
            </w:r>
          </w:hyperlink>
        </w:p>
        <w:p>
          <w:pPr>
            <w:pStyle w:val="Contents2"/>
            <w:tabs>
              <w:tab w:val="clear" w:pos="9062"/>
              <w:tab w:val="right" w:pos="9072" w:leader="dot"/>
            </w:tabs>
            <w:rPr/>
          </w:pPr>
          <w:hyperlink w:anchor="__RefHeading___Toc57998_2150708505">
            <w:r>
              <w:rPr>
                <w:rStyle w:val="IndexLink"/>
              </w:rPr>
              <w:t>Procédure de réponse</w:t>
              <w:tab/>
              <w:t>18</w:t>
            </w:r>
          </w:hyperlink>
        </w:p>
        <w:p>
          <w:pPr>
            <w:pStyle w:val="Contents2"/>
            <w:tabs>
              <w:tab w:val="clear" w:pos="9062"/>
              <w:tab w:val="right" w:pos="9072" w:leader="dot"/>
            </w:tabs>
            <w:rPr/>
          </w:pPr>
          <w:hyperlink w:anchor="__RefHeading___Toc58000_2150708505">
            <w:r>
              <w:rPr>
                <w:rStyle w:val="IndexLink"/>
              </w:rPr>
              <w:t>Communication</w:t>
              <w:tab/>
              <w:t>18</w:t>
            </w:r>
          </w:hyperlink>
        </w:p>
        <w:p>
          <w:pPr>
            <w:pStyle w:val="Contents2"/>
            <w:tabs>
              <w:tab w:val="clear" w:pos="9062"/>
              <w:tab w:val="right" w:pos="9072" w:leader="dot"/>
            </w:tabs>
            <w:rPr/>
          </w:pPr>
          <w:hyperlink w:anchor="__RefHeading___Toc58002_2150708505">
            <w:r>
              <w:rPr>
                <w:rStyle w:val="IndexLink"/>
              </w:rPr>
              <w:t>Registre des incidents</w:t>
              <w:tab/>
              <w:t>19</w:t>
            </w:r>
          </w:hyperlink>
        </w:p>
        <w:p>
          <w:pPr>
            <w:pStyle w:val="Contents1"/>
            <w:tabs>
              <w:tab w:val="clear" w:pos="9376"/>
              <w:tab w:val="right" w:pos="9072" w:leader="dot"/>
            </w:tabs>
            <w:rPr/>
          </w:pPr>
          <w:hyperlink w:anchor="__RefHeading___Toc58004_2150708505">
            <w:r>
              <w:rPr>
                <w:rStyle w:val="IndexLink"/>
              </w:rPr>
              <w:t>FORMATION ET SENSIBILISATION</w:t>
              <w:tab/>
              <w:t>19</w:t>
            </w:r>
          </w:hyperlink>
        </w:p>
        <w:p>
          <w:pPr>
            <w:pStyle w:val="Contents2"/>
            <w:tabs>
              <w:tab w:val="clear" w:pos="9062"/>
              <w:tab w:val="right" w:pos="9072" w:leader="dot"/>
            </w:tabs>
            <w:rPr/>
          </w:pPr>
          <w:hyperlink w:anchor="__RefHeading___Toc58006_2150708505">
            <w:r>
              <w:rPr>
                <w:rStyle w:val="IndexLink"/>
              </w:rPr>
              <w:t>Formation initiale</w:t>
              <w:tab/>
              <w:t>19</w:t>
            </w:r>
          </w:hyperlink>
        </w:p>
        <w:p>
          <w:pPr>
            <w:pStyle w:val="Contents2"/>
            <w:tabs>
              <w:tab w:val="clear" w:pos="9062"/>
              <w:tab w:val="right" w:pos="9072" w:leader="dot"/>
            </w:tabs>
            <w:rPr/>
          </w:pPr>
          <w:hyperlink w:anchor="__RefHeading___Toc58008_2150708505">
            <w:r>
              <w:rPr>
                <w:rStyle w:val="IndexLink"/>
              </w:rPr>
              <w:t>Formation APDP</w:t>
              <w:tab/>
              <w:t>19</w:t>
            </w:r>
          </w:hyperlink>
        </w:p>
        <w:p>
          <w:pPr>
            <w:pStyle w:val="Contents2"/>
            <w:tabs>
              <w:tab w:val="clear" w:pos="9062"/>
              <w:tab w:val="right" w:pos="9072" w:leader="dot"/>
            </w:tabs>
            <w:rPr/>
          </w:pPr>
          <w:hyperlink w:anchor="__RefHeading___Toc58010_2150708505">
            <w:r>
              <w:rPr>
                <w:rStyle w:val="IndexLink"/>
              </w:rPr>
              <w:t>Sensibilisation continue</w:t>
              <w:tab/>
              <w:t>20</w:t>
            </w:r>
          </w:hyperlink>
        </w:p>
        <w:p>
          <w:pPr>
            <w:pStyle w:val="Contents1"/>
            <w:tabs>
              <w:tab w:val="clear" w:pos="9376"/>
              <w:tab w:val="right" w:pos="9072" w:leader="dot"/>
            </w:tabs>
            <w:rPr/>
          </w:pPr>
          <w:hyperlink w:anchor="__RefHeading___Toc58012_2150708505">
            <w:r>
              <w:rPr>
                <w:rStyle w:val="IndexLink"/>
              </w:rPr>
              <w:t>AMÉLIORATION CONTINUE</w:t>
              <w:tab/>
              <w:t>20</w:t>
            </w:r>
          </w:hyperlink>
        </w:p>
        <w:p>
          <w:pPr>
            <w:pStyle w:val="Contents2"/>
            <w:tabs>
              <w:tab w:val="clear" w:pos="9062"/>
              <w:tab w:val="right" w:pos="9072" w:leader="dot"/>
            </w:tabs>
            <w:rPr/>
          </w:pPr>
          <w:hyperlink w:anchor="__RefHeading___Toc58014_2150708505">
            <w:r>
              <w:rPr>
                <w:rStyle w:val="IndexLink"/>
              </w:rPr>
              <w:t>Veille technologique</w:t>
              <w:tab/>
              <w:t>20</w:t>
            </w:r>
          </w:hyperlink>
        </w:p>
        <w:p>
          <w:pPr>
            <w:pStyle w:val="Contents2"/>
            <w:tabs>
              <w:tab w:val="clear" w:pos="9062"/>
              <w:tab w:val="right" w:pos="9072" w:leader="dot"/>
            </w:tabs>
            <w:rPr/>
          </w:pPr>
          <w:hyperlink w:anchor="__RefHeading___Toc58016_2150708505">
            <w:r>
              <w:rPr>
                <w:rStyle w:val="IndexLink"/>
              </w:rPr>
              <w:t>Retour d'expérience</w:t>
              <w:tab/>
              <w:t>21</w:t>
            </w:r>
          </w:hyperlink>
        </w:p>
        <w:p>
          <w:pPr>
            <w:pStyle w:val="Contents2"/>
            <w:tabs>
              <w:tab w:val="clear" w:pos="9062"/>
              <w:tab w:val="right" w:pos="9072" w:leader="dot"/>
            </w:tabs>
            <w:rPr/>
          </w:pPr>
          <w:hyperlink w:anchor="__RefHeading___Toc58018_2150708505">
            <w:r>
              <w:rPr>
                <w:rStyle w:val="IndexLink"/>
              </w:rPr>
              <w:t>Révision de la politique</w:t>
              <w:tab/>
              <w:t>21</w:t>
            </w:r>
          </w:hyperlink>
        </w:p>
        <w:p>
          <w:pPr>
            <w:pStyle w:val="Contents1"/>
            <w:tabs>
              <w:tab w:val="clear" w:pos="9376"/>
              <w:tab w:val="right" w:pos="9072" w:leader="dot"/>
            </w:tabs>
            <w:rPr/>
          </w:pPr>
          <w:hyperlink w:anchor="__RefHeading___Toc58020_2150708505">
            <w:r>
              <w:rPr>
                <w:rStyle w:val="IndexLink"/>
              </w:rPr>
              <w:t>SANCTIONS</w:t>
              <w:tab/>
              <w:t>22</w:t>
            </w:r>
          </w:hyperlink>
        </w:p>
        <w:p>
          <w:pPr>
            <w:pStyle w:val="Contents2"/>
            <w:tabs>
              <w:tab w:val="clear" w:pos="9062"/>
              <w:tab w:val="right" w:pos="9072" w:leader="dot"/>
            </w:tabs>
            <w:rPr/>
          </w:pPr>
          <w:hyperlink w:anchor="__RefHeading___Toc58022_2150708505">
            <w:r>
              <w:rPr>
                <w:rStyle w:val="IndexLink"/>
              </w:rPr>
              <w:t>Non-respect de la politique</w:t>
              <w:tab/>
              <w:t>22</w:t>
            </w:r>
          </w:hyperlink>
        </w:p>
        <w:p>
          <w:pPr>
            <w:pStyle w:val="Contents2"/>
            <w:tabs>
              <w:tab w:val="clear" w:pos="9062"/>
              <w:tab w:val="right" w:pos="9072" w:leader="dot"/>
            </w:tabs>
            <w:rPr/>
          </w:pPr>
          <w:hyperlink w:anchor="__RefHeading___Toc58024_2150708505">
            <w:r>
              <w:rPr>
                <w:rStyle w:val="IndexLink"/>
              </w:rPr>
              <w:t>Sanctions légales (APDP)</w:t>
              <w:tab/>
              <w:t>22</w:t>
            </w:r>
          </w:hyperlink>
        </w:p>
        <w:p>
          <w:pPr>
            <w:pStyle w:val="Contents1"/>
            <w:tabs>
              <w:tab w:val="clear" w:pos="9376"/>
              <w:tab w:val="right" w:pos="9072" w:leader="dot"/>
            </w:tabs>
            <w:rPr/>
          </w:pPr>
          <w:hyperlink w:anchor="__RefHeading___Toc58026_2150708505">
            <w:r>
              <w:rPr>
                <w:rStyle w:val="IndexLink"/>
              </w:rPr>
              <w:t>DOCUMENTS DE RÉFÉRENCE</w:t>
              <w:tab/>
              <w:t>23</w:t>
            </w:r>
          </w:hyperlink>
        </w:p>
        <w:p>
          <w:pPr>
            <w:pStyle w:val="Contents2"/>
            <w:tabs>
              <w:tab w:val="clear" w:pos="9062"/>
              <w:tab w:val="right" w:pos="9072" w:leader="dot"/>
            </w:tabs>
            <w:rPr/>
          </w:pPr>
          <w:hyperlink w:anchor="__RefHeading___Toc58028_2150708505">
            <w:r>
              <w:rPr>
                <w:rStyle w:val="IndexLink"/>
              </w:rPr>
              <w:t>Documents techniques</w:t>
              <w:tab/>
              <w:t>23</w:t>
            </w:r>
          </w:hyperlink>
        </w:p>
        <w:p>
          <w:pPr>
            <w:pStyle w:val="Contents2"/>
            <w:tabs>
              <w:tab w:val="clear" w:pos="9062"/>
              <w:tab w:val="right" w:pos="9072" w:leader="dot"/>
            </w:tabs>
            <w:rPr/>
          </w:pPr>
          <w:hyperlink w:anchor="__RefHeading___Toc58030_2150708505">
            <w:r>
              <w:rPr>
                <w:rStyle w:val="IndexLink"/>
              </w:rPr>
              <w:t>Procédures opérationnelles</w:t>
              <w:tab/>
              <w:t>23</w:t>
            </w:r>
          </w:hyperlink>
        </w:p>
        <w:p>
          <w:pPr>
            <w:pStyle w:val="Contents2"/>
            <w:tabs>
              <w:tab w:val="clear" w:pos="9062"/>
              <w:tab w:val="right" w:pos="9072" w:leader="dot"/>
            </w:tabs>
            <w:rPr/>
          </w:pPr>
          <w:hyperlink w:anchor="__RefHeading___Toc58032_2150708505">
            <w:r>
              <w:rPr>
                <w:rStyle w:val="IndexLink"/>
              </w:rPr>
              <w:t>Documents opérationnels</w:t>
              <w:tab/>
              <w:t>23</w:t>
            </w:r>
          </w:hyperlink>
        </w:p>
        <w:p>
          <w:pPr>
            <w:pStyle w:val="Contents2"/>
            <w:tabs>
              <w:tab w:val="clear" w:pos="9062"/>
              <w:tab w:val="right" w:pos="9072" w:leader="dot"/>
            </w:tabs>
            <w:rPr/>
          </w:pPr>
          <w:hyperlink w:anchor="__RefHeading___Toc58034_2150708505">
            <w:r>
              <w:rPr>
                <w:rStyle w:val="IndexLink"/>
              </w:rPr>
              <w:t>Documents stratégiques</w:t>
              <w:tab/>
              <w:t>24</w:t>
            </w:r>
          </w:hyperlink>
        </w:p>
        <w:p>
          <w:pPr>
            <w:pStyle w:val="Contents2"/>
            <w:tabs>
              <w:tab w:val="clear" w:pos="9062"/>
              <w:tab w:val="right" w:pos="9072" w:leader="dot"/>
            </w:tabs>
            <w:rPr/>
          </w:pPr>
          <w:hyperlink w:anchor="__RefHeading___Toc58036_2150708505">
            <w:r>
              <w:rPr>
                <w:rStyle w:val="IndexLink"/>
              </w:rPr>
              <w:t>Documents de conformité</w:t>
              <w:tab/>
              <w:t>24</w:t>
            </w:r>
          </w:hyperlink>
        </w:p>
        <w:p>
          <w:pPr>
            <w:pStyle w:val="Contents1"/>
            <w:tabs>
              <w:tab w:val="clear" w:pos="9376"/>
              <w:tab w:val="right" w:pos="9072" w:leader="dot"/>
            </w:tabs>
            <w:rPr/>
          </w:pPr>
          <w:hyperlink w:anchor="__RefHeading___Toc58038_2150708505">
            <w:r>
              <w:rPr>
                <w:rStyle w:val="IndexLink"/>
              </w:rPr>
              <w:t>CONTACTS</w:t>
              <w:tab/>
              <w:t>24</w:t>
            </w:r>
          </w:hyperlink>
        </w:p>
        <w:p>
          <w:pPr>
            <w:pStyle w:val="Contents2"/>
            <w:tabs>
              <w:tab w:val="clear" w:pos="9062"/>
              <w:tab w:val="right" w:pos="9072" w:leader="dot"/>
            </w:tabs>
            <w:rPr/>
          </w:pPr>
          <w:hyperlink w:anchor="__RefHeading___Toc58040_2150708505">
            <w:r>
              <w:rPr>
                <w:rStyle w:val="IndexLink"/>
              </w:rPr>
              <w:t>Contacts internes</w:t>
              <w:tab/>
              <w:t>24</w:t>
            </w:r>
          </w:hyperlink>
        </w:p>
        <w:p>
          <w:pPr>
            <w:pStyle w:val="Contents2"/>
            <w:tabs>
              <w:tab w:val="clear" w:pos="9062"/>
              <w:tab w:val="right" w:pos="9072" w:leader="dot"/>
            </w:tabs>
            <w:rPr/>
          </w:pPr>
          <w:hyperlink w:anchor="__RefHeading___Toc58042_2150708505">
            <w:r>
              <w:rPr>
                <w:rStyle w:val="IndexLink"/>
              </w:rPr>
              <w:t>Contacts externes</w:t>
              <w:tab/>
              <w:t>24</w:t>
            </w:r>
          </w:hyperlink>
          <w:r>
            <w:rPr>
              <w:rStyle w:val="IndexLink"/>
            </w:rPr>
            <w:fldChar w:fldCharType="end"/>
          </w:r>
        </w:p>
      </w:sdtContent>
    </w:sdt>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Heading1"/>
        <w:ind w:left="0" w:hanging="0"/>
        <w:rPr/>
      </w:pPr>
      <w:bookmarkStart w:id="6" w:name="__RefHeading___Toc57912_2150708505"/>
      <w:bookmarkEnd w:id="6"/>
      <w:r>
        <w:rPr/>
        <w:t>PRÉAMBULE</w:t>
      </w:r>
    </w:p>
    <w:p>
      <w:pPr>
        <w:pStyle w:val="TextBody"/>
        <w:rPr/>
      </w:pPr>
      <w:r>
        <w:rPr/>
        <w:t>La présente Politique de Sécurité des Serveurs définit les principes, objectifs et responsabilités en matière de sécurité de l'infrastructure serveurs de l'entreprise.</w:t>
      </w:r>
    </w:p>
    <w:p>
      <w:pPr>
        <w:pStyle w:val="TextBody"/>
        <w:rPr/>
      </w:pPr>
      <w:r>
        <w:rPr/>
        <w:t>Ce document constitue le cadre stratégique de référence pour l'ensemble de nos opérations de sécurité. Les aspects techniques détaillés sont documentés dans les référentiels et procédures associés.</w:t>
      </w:r>
    </w:p>
    <w:p>
      <w:pPr>
        <w:pStyle w:val="TextBody"/>
        <w:rPr/>
      </w:pPr>
      <w:r>
        <w:rPr/>
        <w:t>Cette politique s'applique à tous les serveurs Linux hébergés chez OVH, qu'ils soient utilisés en production, préproduction ou test. Elle garantit le respect de nos obligations légales, notamment celles imposées par l'Autorité de Protection des Données à caractère Personnel (APDP) du Bénin.</w:t>
      </w:r>
    </w:p>
    <w:p>
      <w:pPr>
        <w:pStyle w:val="Heading1"/>
        <w:ind w:left="0" w:hanging="0"/>
        <w:rPr/>
      </w:pPr>
      <w:bookmarkStart w:id="7" w:name="__RefHeading___Toc57914_2150708505"/>
      <w:bookmarkEnd w:id="7"/>
      <w:r>
        <w:rPr/>
        <w:t>OBJECTIFS DE SÉCURITÉ</w:t>
      </w:r>
    </w:p>
    <w:p>
      <w:pPr>
        <w:pStyle w:val="Heading2"/>
        <w:ind w:left="0" w:hanging="0"/>
        <w:rPr/>
      </w:pPr>
      <w:bookmarkStart w:id="8" w:name="__RefHeading___Toc57916_2150708505"/>
      <w:bookmarkEnd w:id="8"/>
      <w:r>
        <w:rPr/>
        <w:t>Objectifs généraux</w:t>
      </w:r>
    </w:p>
    <w:p>
      <w:pPr>
        <w:pStyle w:val="TextBody"/>
        <w:rPr/>
      </w:pPr>
      <w:r>
        <w:rPr/>
        <w:t>L'entreprise s'engage à garantir la sécurité de son infrastructure serveurs selon trois piliers fondamentaux qui constituent le socle de notre approche sécuritaire.</w:t>
      </w:r>
    </w:p>
    <w:p>
      <w:pPr>
        <w:pStyle w:val="TextBody"/>
        <w:numPr>
          <w:ilvl w:val="0"/>
          <w:numId w:val="1"/>
        </w:numPr>
        <w:tabs>
          <w:tab w:val="clear" w:pos="708"/>
          <w:tab w:val="left" w:pos="0" w:leader="none"/>
        </w:tabs>
        <w:ind w:left="709" w:hanging="283"/>
        <w:rPr/>
      </w:pPr>
      <w:r>
        <w:rPr>
          <w:rStyle w:val="StrongEmphasis"/>
        </w:rPr>
        <w:t>La confidentialité</w:t>
      </w:r>
      <w:r>
        <w:rPr/>
        <w:t xml:space="preserve"> consiste à garantir que seules les personnes autorisées peuvent accéder aux données et systèmes de l'entreprise. Aucune information ne doit être accessible à des tiers non autorisés.</w:t>
      </w:r>
    </w:p>
    <w:p>
      <w:pPr>
        <w:pStyle w:val="TextBody"/>
        <w:numPr>
          <w:ilvl w:val="0"/>
          <w:numId w:val="1"/>
        </w:numPr>
        <w:tabs>
          <w:tab w:val="clear" w:pos="708"/>
          <w:tab w:val="left" w:pos="0" w:leader="none"/>
        </w:tabs>
        <w:ind w:left="709" w:hanging="283"/>
        <w:rPr/>
      </w:pPr>
      <w:r>
        <w:rPr>
          <w:rStyle w:val="StrongEmphasis"/>
        </w:rPr>
        <w:t>L'intégrité</w:t>
      </w:r>
      <w:r>
        <w:rPr/>
        <w:t xml:space="preserve"> vise à assurer que les données et systèmes ne sont pas altérés de manière non autorisée. Toute modification doit être tracée, validée et réversible si nécessaire.</w:t>
      </w:r>
    </w:p>
    <w:p>
      <w:pPr>
        <w:pStyle w:val="TextBody"/>
        <w:numPr>
          <w:ilvl w:val="0"/>
          <w:numId w:val="1"/>
        </w:numPr>
        <w:tabs>
          <w:tab w:val="clear" w:pos="708"/>
          <w:tab w:val="left" w:pos="0" w:leader="none"/>
        </w:tabs>
        <w:ind w:left="709" w:hanging="283"/>
        <w:rPr/>
      </w:pPr>
      <w:r>
        <w:rPr>
          <w:rStyle w:val="StrongEmphasis"/>
        </w:rPr>
        <w:t>La disponibilité</w:t>
      </w:r>
      <w:r>
        <w:rPr/>
        <w:t xml:space="preserve"> a pour objectif de maintenir l'accès aux services et données pour les utilisateurs légitimes, garantissant ainsi la continuité de l'activité.</w:t>
      </w:r>
    </w:p>
    <w:p>
      <w:pPr>
        <w:pStyle w:val="Heading2"/>
        <w:ind w:left="0" w:hanging="0"/>
        <w:rPr/>
      </w:pPr>
      <w:bookmarkStart w:id="9" w:name="__RefHeading___Toc57918_2150708505"/>
      <w:bookmarkEnd w:id="9"/>
      <w:r>
        <w:rPr/>
        <w:t>Objectifs spécifiques</w:t>
      </w:r>
    </w:p>
    <w:p>
      <w:pPr>
        <w:pStyle w:val="TextBody"/>
        <w:rPr/>
      </w:pPr>
      <w:r>
        <w:rPr/>
        <w:t>L'entreprise s'est fixée des objectifs mesurables pour évaluer l'efficacité de sa politique de sécurité.</w:t>
      </w:r>
    </w:p>
    <w:p>
      <w:pPr>
        <w:pStyle w:val="TextBody"/>
        <w:numPr>
          <w:ilvl w:val="0"/>
          <w:numId w:val="2"/>
        </w:numPr>
        <w:tabs>
          <w:tab w:val="clear" w:pos="708"/>
          <w:tab w:val="left" w:pos="0" w:leader="none"/>
        </w:tabs>
        <w:ind w:left="709" w:hanging="283"/>
        <w:rPr/>
      </w:pPr>
      <w:r>
        <w:rPr/>
        <w:t xml:space="preserve">Nous visons une conformité totale de 100% de nos serveurs avec le standard de configuration défini dans le document </w:t>
      </w:r>
      <w:r>
        <w:rPr>
          <w:rStyle w:val="StrongEmphasis"/>
        </w:rPr>
        <w:t>DOC-REF-01</w:t>
      </w:r>
      <w:r>
        <w:rPr/>
        <w:t>. Pour les serveurs hébergeant des données personnelles, cette conformité doit également respecter à 100% les exigences de l'APDP.</w:t>
      </w:r>
    </w:p>
    <w:p>
      <w:pPr>
        <w:pStyle w:val="TextBody"/>
        <w:numPr>
          <w:ilvl w:val="0"/>
          <w:numId w:val="2"/>
        </w:numPr>
        <w:tabs>
          <w:tab w:val="clear" w:pos="708"/>
          <w:tab w:val="left" w:pos="0" w:leader="none"/>
        </w:tabs>
        <w:ind w:left="709" w:hanging="283"/>
        <w:rPr/>
      </w:pPr>
      <w:r>
        <w:rPr/>
        <w:t>En matière de mises à jour de sécurité, nous nous engageons à appliquer tout correctif critique (CVE avec score supérieur ou égal à 7.0) dans un délai maximum de 48 heures suivant sa publication.</w:t>
      </w:r>
    </w:p>
    <w:p>
      <w:pPr>
        <w:pStyle w:val="TextBody"/>
        <w:numPr>
          <w:ilvl w:val="0"/>
          <w:numId w:val="2"/>
        </w:numPr>
        <w:tabs>
          <w:tab w:val="clear" w:pos="708"/>
          <w:tab w:val="left" w:pos="0" w:leader="none"/>
        </w:tabs>
        <w:ind w:left="709" w:hanging="283"/>
        <w:rPr/>
      </w:pPr>
      <w:r>
        <w:rPr/>
        <w:t>Notre objectif de disponibilité pour les serveurs critiques est fixé à 99,5% de temps de fonctionnement mensuel.</w:t>
      </w:r>
    </w:p>
    <w:p>
      <w:pPr>
        <w:pStyle w:val="TextBody"/>
        <w:numPr>
          <w:ilvl w:val="0"/>
          <w:numId w:val="2"/>
        </w:numPr>
        <w:tabs>
          <w:tab w:val="clear" w:pos="708"/>
          <w:tab w:val="left" w:pos="0" w:leader="none"/>
        </w:tabs>
        <w:ind w:left="709" w:hanging="283"/>
        <w:rPr/>
      </w:pPr>
      <w:r>
        <w:rPr/>
        <w:t>La résilience de nos systèmes est testée régulièrement, avec des tests de restauration effectués au minimum trimestriellement, et nous visons un taux de réussite de 100% pour ces tests.</w:t>
      </w:r>
    </w:p>
    <w:p>
      <w:pPr>
        <w:pStyle w:val="TextBody"/>
        <w:numPr>
          <w:ilvl w:val="0"/>
          <w:numId w:val="2"/>
        </w:numPr>
        <w:tabs>
          <w:tab w:val="clear" w:pos="708"/>
          <w:tab w:val="left" w:pos="0" w:leader="none"/>
        </w:tabs>
        <w:ind w:left="709" w:hanging="283"/>
        <w:rPr/>
      </w:pPr>
      <w:r>
        <w:rPr/>
        <w:t>En cas de départ d'un collaborateur, nous nous engageons à révoquer tous ses accès dans un délai inférieur à une heure.</w:t>
      </w:r>
    </w:p>
    <w:p>
      <w:pPr>
        <w:pStyle w:val="Heading1"/>
        <w:ind w:left="0" w:hanging="0"/>
        <w:rPr/>
      </w:pPr>
      <w:bookmarkStart w:id="10" w:name="__RefHeading___Toc57920_2150708505"/>
      <w:bookmarkEnd w:id="10"/>
      <w:r>
        <w:rPr/>
        <w:t>PRINCIPES DIRECTEURS</w:t>
      </w:r>
    </w:p>
    <w:p>
      <w:pPr>
        <w:pStyle w:val="Heading2"/>
        <w:ind w:left="0" w:hanging="0"/>
        <w:rPr/>
      </w:pPr>
      <w:bookmarkStart w:id="11" w:name="__RefHeading___Toc57922_2150708505"/>
      <w:bookmarkEnd w:id="11"/>
      <w:r>
        <w:rPr/>
        <w:t>Défense en profondeur</w:t>
      </w:r>
    </w:p>
    <w:p>
      <w:pPr>
        <w:pStyle w:val="TextBody"/>
        <w:rPr/>
      </w:pPr>
      <w:r>
        <w:rPr/>
        <w:t>Notre approche de sécurité repose sur le principe fondamental de défense en profondeur, qui implique la mise en place de plusieurs couches de protection complémentaires. Nous ne nous reposons jamais sur une seule mesure de sécurité, car aucun système n'est infaillible.</w:t>
      </w:r>
    </w:p>
    <w:p>
      <w:pPr>
        <w:pStyle w:val="TextBody"/>
        <w:numPr>
          <w:ilvl w:val="0"/>
          <w:numId w:val="3"/>
        </w:numPr>
        <w:tabs>
          <w:tab w:val="clear" w:pos="708"/>
          <w:tab w:val="left" w:pos="0" w:leader="none"/>
        </w:tabs>
        <w:ind w:left="709" w:hanging="283"/>
        <w:rPr/>
      </w:pPr>
      <w:r>
        <w:rPr/>
        <w:t>La première couche consiste en une sécurisation réseau avec le pare-feu UFW qui filtre tout le trafic entrant et sortant.</w:t>
      </w:r>
    </w:p>
    <w:p>
      <w:pPr>
        <w:pStyle w:val="TextBody"/>
        <w:numPr>
          <w:ilvl w:val="0"/>
          <w:numId w:val="3"/>
        </w:numPr>
        <w:tabs>
          <w:tab w:val="clear" w:pos="708"/>
          <w:tab w:val="left" w:pos="0" w:leader="none"/>
        </w:tabs>
        <w:ind w:left="709" w:hanging="283"/>
        <w:rPr/>
      </w:pPr>
      <w:r>
        <w:rPr/>
        <w:t>Le contrôle d'accès constitue la deuxième couche, avec l'authentification SSH par clés et la gestion fine des privilèges sudo.</w:t>
      </w:r>
    </w:p>
    <w:p>
      <w:pPr>
        <w:pStyle w:val="TextBody"/>
        <w:numPr>
          <w:ilvl w:val="0"/>
          <w:numId w:val="3"/>
        </w:numPr>
        <w:tabs>
          <w:tab w:val="clear" w:pos="708"/>
          <w:tab w:val="left" w:pos="0" w:leader="none"/>
        </w:tabs>
        <w:ind w:left="709" w:hanging="283"/>
        <w:rPr/>
      </w:pPr>
      <w:r>
        <w:rPr/>
        <w:t>Le durcissement système représente notre troisième ligne de défense, incluant la sécurisation du kernel et la désactivation des services non nécessaires.</w:t>
      </w:r>
    </w:p>
    <w:p>
      <w:pPr>
        <w:pStyle w:val="TextBody"/>
        <w:numPr>
          <w:ilvl w:val="0"/>
          <w:numId w:val="3"/>
        </w:numPr>
        <w:tabs>
          <w:tab w:val="clear" w:pos="708"/>
          <w:tab w:val="left" w:pos="0" w:leader="none"/>
        </w:tabs>
        <w:ind w:left="709" w:hanging="283"/>
        <w:rPr/>
      </w:pPr>
      <w:r>
        <w:rPr/>
        <w:t>Nous déployons également Fail2Ban comme protection anti-bruteforce, qui bloque automatiquement les tentatives d'intrusion répétées.</w:t>
      </w:r>
    </w:p>
    <w:p>
      <w:pPr>
        <w:pStyle w:val="TextBody"/>
        <w:numPr>
          <w:ilvl w:val="0"/>
          <w:numId w:val="3"/>
        </w:numPr>
        <w:tabs>
          <w:tab w:val="clear" w:pos="708"/>
          <w:tab w:val="left" w:pos="0" w:leader="none"/>
        </w:tabs>
        <w:ind w:left="709" w:hanging="283"/>
        <w:rPr/>
      </w:pPr>
      <w:r>
        <w:rPr/>
        <w:t>Le chiffrement des données, tant en transit qu'au repos lorsque nécessaire, ajoute une couche supplémentaire de protection.</w:t>
      </w:r>
    </w:p>
    <w:p>
      <w:pPr>
        <w:pStyle w:val="TextBody"/>
        <w:numPr>
          <w:ilvl w:val="0"/>
          <w:numId w:val="3"/>
        </w:numPr>
        <w:tabs>
          <w:tab w:val="clear" w:pos="708"/>
          <w:tab w:val="left" w:pos="0" w:leader="none"/>
        </w:tabs>
        <w:ind w:left="709" w:hanging="283"/>
        <w:rPr/>
      </w:pPr>
      <w:r>
        <w:rPr/>
        <w:t>La surveillance continue via les logs et le monitoring nous permet de détecter rapidement toute anomalie.</w:t>
      </w:r>
    </w:p>
    <w:p>
      <w:pPr>
        <w:pStyle w:val="TextBody"/>
        <w:numPr>
          <w:ilvl w:val="0"/>
          <w:numId w:val="3"/>
        </w:numPr>
        <w:tabs>
          <w:tab w:val="clear" w:pos="708"/>
          <w:tab w:val="left" w:pos="0" w:leader="none"/>
        </w:tabs>
        <w:ind w:left="709" w:hanging="283"/>
        <w:rPr/>
      </w:pPr>
      <w:r>
        <w:rPr/>
        <w:t>Enfin, notre stratégie de sauvegarde garantit la résilience de nos systèmes même en cas de compromission.</w:t>
      </w:r>
    </w:p>
    <w:p>
      <w:pPr>
        <w:pStyle w:val="TextBody"/>
        <w:rPr/>
      </w:pPr>
      <w:r>
        <w:rPr/>
        <w:t xml:space="preserve">Ces mesures sont détaillées techniquement dans le document </w:t>
      </w:r>
      <w:r>
        <w:rPr>
          <w:rStyle w:val="StrongEmphasis"/>
        </w:rPr>
        <w:t>DOC-REF-01</w:t>
      </w:r>
      <w:r>
        <w:rPr/>
        <w:t>.</w:t>
      </w:r>
    </w:p>
    <w:p>
      <w:pPr>
        <w:pStyle w:val="Heading2"/>
        <w:ind w:left="0" w:hanging="0"/>
        <w:rPr/>
      </w:pPr>
      <w:bookmarkStart w:id="12" w:name="__RefHeading___Toc57924_2150708505"/>
      <w:bookmarkEnd w:id="12"/>
      <w:r>
        <w:rPr/>
        <w:t>Principe du moindre privilège</w:t>
      </w:r>
    </w:p>
    <w:p>
      <w:pPr>
        <w:pStyle w:val="TextBody"/>
        <w:rPr/>
      </w:pPr>
      <w:r>
        <w:rPr/>
        <w:t>Chaque utilisateur et chaque application dispose uniquement des droits strictement nécessaires à l'exécution de ses fonctions. Ce principe fondamental limite considérablement les risques en cas de compromission d'un compte.</w:t>
      </w:r>
    </w:p>
    <w:p>
      <w:pPr>
        <w:pStyle w:val="TextBody"/>
        <w:rPr/>
      </w:pPr>
      <w:r>
        <w:rPr/>
        <w:t>Concrètement,</w:t>
      </w:r>
    </w:p>
    <w:p>
      <w:pPr>
        <w:pStyle w:val="TextBody"/>
        <w:numPr>
          <w:ilvl w:val="0"/>
          <w:numId w:val="4"/>
        </w:numPr>
        <w:tabs>
          <w:tab w:val="clear" w:pos="708"/>
          <w:tab w:val="left" w:pos="0" w:leader="none"/>
        </w:tabs>
        <w:ind w:left="709" w:hanging="283"/>
        <w:rPr/>
      </w:pPr>
      <w:r>
        <w:rPr/>
        <w:t>Nous interdisons totalement l'utilisation de comptes génériques tels que "admin", "user" ou "support".</w:t>
      </w:r>
    </w:p>
    <w:p>
      <w:pPr>
        <w:pStyle w:val="TextBody"/>
        <w:numPr>
          <w:ilvl w:val="0"/>
          <w:numId w:val="4"/>
        </w:numPr>
        <w:tabs>
          <w:tab w:val="clear" w:pos="708"/>
          <w:tab w:val="left" w:pos="0" w:leader="none"/>
        </w:tabs>
        <w:ind w:left="709" w:hanging="283"/>
        <w:rPr/>
      </w:pPr>
      <w:r>
        <w:rPr/>
        <w:t>Tous les comptes doivent être nominatifs, permettant ainsi une traçabilité complète des actions.</w:t>
      </w:r>
    </w:p>
    <w:p>
      <w:pPr>
        <w:pStyle w:val="TextBody"/>
        <w:numPr>
          <w:ilvl w:val="0"/>
          <w:numId w:val="4"/>
        </w:numPr>
        <w:tabs>
          <w:tab w:val="clear" w:pos="708"/>
          <w:tab w:val="left" w:pos="0" w:leader="none"/>
        </w:tabs>
        <w:ind w:left="709" w:hanging="283"/>
        <w:rPr/>
      </w:pPr>
      <w:r>
        <w:rPr/>
        <w:t>L'accès sudo est limité au strict nécessaire, et aucun utilisateur ne dispose de privilèges illimités sans justification valable.</w:t>
      </w:r>
    </w:p>
    <w:p>
      <w:pPr>
        <w:pStyle w:val="TextBody"/>
        <w:numPr>
          <w:ilvl w:val="0"/>
          <w:numId w:val="4"/>
        </w:numPr>
        <w:tabs>
          <w:tab w:val="clear" w:pos="708"/>
          <w:tab w:val="left" w:pos="0" w:leader="none"/>
        </w:tabs>
        <w:ind w:left="709" w:hanging="283"/>
        <w:rPr/>
      </w:pPr>
      <w:r>
        <w:rPr/>
        <w:t>Pour les serveurs hébergeant des données personnelles, l'accès est restreint à un maximum de 2 à 5 personnes, selon la sensibilité des données.</w:t>
      </w:r>
    </w:p>
    <w:p>
      <w:pPr>
        <w:pStyle w:val="TextBody"/>
        <w:numPr>
          <w:ilvl w:val="0"/>
          <w:numId w:val="4"/>
        </w:numPr>
        <w:tabs>
          <w:tab w:val="clear" w:pos="708"/>
          <w:tab w:val="left" w:pos="0" w:leader="none"/>
        </w:tabs>
        <w:ind w:left="709" w:hanging="283"/>
        <w:rPr/>
      </w:pPr>
      <w:r>
        <w:rPr/>
        <w:t>Nous effectuons des revues régulières des accès, au minimum semestriellement, pour nous assurer que chaque utilisateur dispose toujours des permissions appropriées à ses fonctions actuelles.</w:t>
      </w:r>
    </w:p>
    <w:p>
      <w:pPr>
        <w:pStyle w:val="TextBody"/>
        <w:rPr/>
      </w:pPr>
      <w:r>
        <w:rPr/>
        <w:t xml:space="preserve">La matrice des accès détaillant l'application de ce principe est documentée dans le </w:t>
      </w:r>
      <w:r>
        <w:rPr>
          <w:rStyle w:val="StrongEmphasis"/>
        </w:rPr>
        <w:t>DOC-OPS-02</w:t>
      </w:r>
      <w:r>
        <w:rPr/>
        <w:t>.</w:t>
      </w:r>
    </w:p>
    <w:p>
      <w:pPr>
        <w:pStyle w:val="Heading2"/>
        <w:ind w:left="0" w:hanging="0"/>
        <w:rPr/>
      </w:pPr>
      <w:bookmarkStart w:id="13" w:name="__RefHeading___Toc57926_2150708505"/>
      <w:bookmarkEnd w:id="13"/>
      <w:r>
        <w:rPr/>
        <w:t>Séparation des environnements</w:t>
      </w:r>
    </w:p>
    <w:p>
      <w:pPr>
        <w:pStyle w:val="TextBody"/>
        <w:rPr/>
      </w:pPr>
      <w:r>
        <w:rPr/>
        <w:t>Les environnements de production, préproduction et test sont strictement séparés, tant au niveau technique qu'organisationnel. Cette séparation garantit que les expérimentations ou erreurs dans les environnements non-production ne peuvent jamais impacter les systèmes de production.</w:t>
      </w:r>
    </w:p>
    <w:p>
      <w:pPr>
        <w:pStyle w:val="TextBody"/>
        <w:rPr/>
      </w:pPr>
      <w:r>
        <w:rPr/>
        <w:t xml:space="preserve">Nous appliquons une règle absolue : </w:t>
      </w:r>
    </w:p>
    <w:p>
      <w:pPr>
        <w:pStyle w:val="TextBody"/>
        <w:numPr>
          <w:ilvl w:val="0"/>
          <w:numId w:val="5"/>
        </w:numPr>
        <w:tabs>
          <w:tab w:val="clear" w:pos="708"/>
          <w:tab w:val="left" w:pos="0" w:leader="none"/>
        </w:tabs>
        <w:ind w:left="709" w:hanging="283"/>
        <w:rPr/>
      </w:pPr>
      <w:r>
        <w:rPr/>
        <w:t>Aucune donnée de production réelle ne doit être utilisée dans les environnements de développement ou de test.</w:t>
      </w:r>
    </w:p>
    <w:p>
      <w:pPr>
        <w:pStyle w:val="TextBody"/>
        <w:numPr>
          <w:ilvl w:val="0"/>
          <w:numId w:val="5"/>
        </w:numPr>
        <w:tabs>
          <w:tab w:val="clear" w:pos="708"/>
          <w:tab w:val="left" w:pos="0" w:leader="none"/>
        </w:tabs>
        <w:ind w:left="709" w:hanging="283"/>
        <w:rPr/>
      </w:pPr>
      <w:r>
        <w:rPr/>
        <w:t>Chaque environnement dispose de ses propres serveurs dédiés, sans aucun partage de ressources.</w:t>
      </w:r>
    </w:p>
    <w:p>
      <w:pPr>
        <w:pStyle w:val="TextBody"/>
        <w:numPr>
          <w:ilvl w:val="0"/>
          <w:numId w:val="5"/>
        </w:numPr>
        <w:tabs>
          <w:tab w:val="clear" w:pos="708"/>
          <w:tab w:val="left" w:pos="0" w:leader="none"/>
        </w:tabs>
        <w:ind w:left="709" w:hanging="283"/>
        <w:rPr/>
      </w:pPr>
      <w:r>
        <w:rPr/>
        <w:t>Les accès sont différenciés selon l'environnement, et les standards de sécurité sont adaptés, l'environnement de production bénéficiant toujours du niveau de sécurité maximal.</w:t>
      </w:r>
    </w:p>
    <w:p>
      <w:pPr>
        <w:pStyle w:val="Heading2"/>
        <w:ind w:left="0" w:hanging="0"/>
        <w:rPr/>
      </w:pPr>
      <w:bookmarkStart w:id="14" w:name="__RefHeading___Toc57928_2150708505"/>
      <w:bookmarkEnd w:id="14"/>
      <w:r>
        <w:rPr/>
        <w:t>Homogénéité et standardisation</w:t>
      </w:r>
    </w:p>
    <w:p>
      <w:pPr>
        <w:pStyle w:val="TextBody"/>
        <w:rPr/>
      </w:pPr>
      <w:r>
        <w:rPr/>
        <w:t>Tous nos serveurs respectent une configuration de référence commune, que nous appelons la "baseline". Cette standardisation présente de nombreux avantages.</w:t>
      </w:r>
    </w:p>
    <w:p>
      <w:pPr>
        <w:pStyle w:val="TextBody"/>
        <w:rPr/>
      </w:pPr>
      <w:r>
        <w:rPr/>
        <w:t>Elle garantit une sécurité cohérente et vérifiable sur l'ensemble de notre infrastructure, simplifie grandement la maintenance, facilite les audits et réduit significativement les erreurs humaines.</w:t>
      </w:r>
    </w:p>
    <w:p>
      <w:pPr>
        <w:pStyle w:val="TextBody"/>
        <w:rPr/>
      </w:pPr>
      <w:r>
        <w:rPr/>
        <w:t xml:space="preserve">En appliquant systématiquement les mêmes configurations testées et approuvées, nous éliminons les variations qui pourraient créer des failles de sécurité. Le standard de configuration est documenté dans le </w:t>
      </w:r>
      <w:r>
        <w:rPr>
          <w:rStyle w:val="StrongEmphasis"/>
        </w:rPr>
        <w:t>DOC-REF-01</w:t>
      </w:r>
      <w:r>
        <w:rPr/>
        <w:t>.</w:t>
      </w:r>
    </w:p>
    <w:p>
      <w:pPr>
        <w:pStyle w:val="Heading2"/>
        <w:ind w:left="0" w:hanging="0"/>
        <w:rPr/>
      </w:pPr>
      <w:bookmarkStart w:id="15" w:name="__RefHeading___Toc57930_2150708505"/>
      <w:bookmarkEnd w:id="15"/>
      <w:r>
        <w:rPr/>
        <w:t>Traçabilité et responsabilité</w:t>
      </w:r>
    </w:p>
    <w:p>
      <w:pPr>
        <w:pStyle w:val="TextBody"/>
        <w:rPr/>
      </w:pPr>
      <w:r>
        <w:rPr/>
        <w:t>Toutes les actions effectuées sur nos serveurs sont tracées et attribuables à une personne identifiée. Cette traçabilité est essentielle tant pour des raisons de sécurité que pour notre conformité réglementaire.</w:t>
      </w:r>
    </w:p>
    <w:p>
      <w:pPr>
        <w:pStyle w:val="TextBody"/>
        <w:numPr>
          <w:ilvl w:val="0"/>
          <w:numId w:val="6"/>
        </w:numPr>
        <w:tabs>
          <w:tab w:val="clear" w:pos="708"/>
          <w:tab w:val="left" w:pos="0" w:leader="none"/>
        </w:tabs>
        <w:ind w:left="709" w:hanging="283"/>
        <w:rPr/>
      </w:pPr>
      <w:r>
        <w:rPr/>
        <w:t>Nous conservons tous les logs pendant au minimum 90 jours, conformément aux exigences de l'APDP, et les logs d'authentification sont conservés pendant 180 jours.</w:t>
      </w:r>
    </w:p>
    <w:p>
      <w:pPr>
        <w:pStyle w:val="TextBody"/>
        <w:numPr>
          <w:ilvl w:val="0"/>
          <w:numId w:val="6"/>
        </w:numPr>
        <w:tabs>
          <w:tab w:val="clear" w:pos="708"/>
          <w:tab w:val="left" w:pos="0" w:leader="none"/>
        </w:tabs>
        <w:ind w:left="709" w:hanging="283"/>
        <w:rPr/>
      </w:pPr>
      <w:r>
        <w:rPr/>
        <w:t>Chaque utilisateur dispose d'un compte nominatif unique, et le partage de comptes est formellement interdit.</w:t>
      </w:r>
    </w:p>
    <w:p>
      <w:pPr>
        <w:pStyle w:val="TextBody"/>
        <w:numPr>
          <w:ilvl w:val="0"/>
          <w:numId w:val="6"/>
        </w:numPr>
        <w:tabs>
          <w:tab w:val="clear" w:pos="708"/>
          <w:tab w:val="left" w:pos="0" w:leader="none"/>
        </w:tabs>
        <w:ind w:left="709" w:hanging="283"/>
        <w:rPr/>
      </w:pPr>
      <w:r>
        <w:rPr/>
        <w:t>Nous journalisons toutes les connexions SSH ainsi que toutes les commandes exécutées avec sudo.</w:t>
      </w:r>
    </w:p>
    <w:p>
      <w:pPr>
        <w:pStyle w:val="TextBody"/>
        <w:rPr/>
      </w:pPr>
      <w:r>
        <w:rPr/>
        <w:t>La matrice des accès, qui documente qui a accès à quoi, est maintenue à jour en permanence pour garantir une traçabilité complète.</w:t>
      </w:r>
    </w:p>
    <w:p>
      <w:pPr>
        <w:pStyle w:val="Heading1"/>
        <w:ind w:left="0" w:hanging="0"/>
        <w:rPr/>
      </w:pPr>
      <w:bookmarkStart w:id="16" w:name="__RefHeading___Toc57932_2150708505"/>
      <w:bookmarkEnd w:id="16"/>
      <w:r>
        <w:rPr/>
        <w:t>CHAMP D'APPLICATION</w:t>
      </w:r>
    </w:p>
    <w:p>
      <w:pPr>
        <w:pStyle w:val="Heading2"/>
        <w:ind w:left="0" w:hanging="0"/>
        <w:rPr/>
      </w:pPr>
      <w:bookmarkStart w:id="17" w:name="__RefHeading___Toc57934_2150708505"/>
      <w:bookmarkEnd w:id="17"/>
      <w:r>
        <w:rPr/>
        <w:t>Périmètre technique</w:t>
      </w:r>
    </w:p>
    <w:p>
      <w:pPr>
        <w:pStyle w:val="TextBody"/>
        <w:rPr/>
      </w:pPr>
      <w:r>
        <w:rPr/>
        <w:t xml:space="preserve">Cette politique s'applique à : </w:t>
      </w:r>
    </w:p>
    <w:p>
      <w:pPr>
        <w:pStyle w:val="TextBody"/>
        <w:numPr>
          <w:ilvl w:val="0"/>
          <w:numId w:val="7"/>
        </w:numPr>
        <w:tabs>
          <w:tab w:val="clear" w:pos="708"/>
          <w:tab w:val="left" w:pos="0" w:leader="none"/>
        </w:tabs>
        <w:ind w:left="709" w:hanging="283"/>
        <w:rPr/>
      </w:pPr>
      <w:r>
        <w:rPr/>
        <w:t>L'ensemble de nos serveurs Linux fonctionnant sous Ubuntu LTS, qu'ils soient hébergés sur l'infrastructure cloud OVH en tant que VPS ou serveurs dédiés.</w:t>
      </w:r>
    </w:p>
    <w:p>
      <w:pPr>
        <w:pStyle w:val="TextBody"/>
        <w:numPr>
          <w:ilvl w:val="0"/>
          <w:numId w:val="7"/>
        </w:numPr>
        <w:tabs>
          <w:tab w:val="clear" w:pos="708"/>
          <w:tab w:val="left" w:pos="0" w:leader="none"/>
        </w:tabs>
        <w:ind w:left="709" w:hanging="283"/>
        <w:rPr/>
      </w:pPr>
      <w:r>
        <w:rPr/>
        <w:t>Tous les environnements sont concernés, qu'il s'agisse de production, préproduction ou test.</w:t>
      </w:r>
    </w:p>
    <w:p>
      <w:pPr>
        <w:pStyle w:val="TextBody"/>
        <w:rPr/>
      </w:pPr>
      <w:r>
        <w:rPr/>
        <w:t xml:space="preserve">Toutefois, certains équipements sont explicitement exclus de ce périmètre : </w:t>
      </w:r>
    </w:p>
    <w:p>
      <w:pPr>
        <w:pStyle w:val="TextBody"/>
        <w:numPr>
          <w:ilvl w:val="0"/>
          <w:numId w:val="8"/>
        </w:numPr>
        <w:tabs>
          <w:tab w:val="clear" w:pos="708"/>
          <w:tab w:val="left" w:pos="0" w:leader="none"/>
        </w:tabs>
        <w:ind w:left="709" w:hanging="283"/>
        <w:rPr/>
      </w:pPr>
      <w:r>
        <w:rPr/>
        <w:t>Les postes de travail des utilisateurs, qui font l'objet d'une politique distincte,</w:t>
      </w:r>
    </w:p>
    <w:p>
      <w:pPr>
        <w:pStyle w:val="TextBody"/>
        <w:numPr>
          <w:ilvl w:val="0"/>
          <w:numId w:val="8"/>
        </w:numPr>
        <w:tabs>
          <w:tab w:val="clear" w:pos="708"/>
          <w:tab w:val="left" w:pos="0" w:leader="none"/>
        </w:tabs>
        <w:ind w:left="709" w:hanging="283"/>
        <w:rPr/>
      </w:pPr>
      <w:r>
        <w:rPr/>
        <w:t xml:space="preserve">Les équipements réseau tels que les switchs et routeurs qui sont gérés directement par OVH, </w:t>
      </w:r>
    </w:p>
    <w:p>
      <w:pPr>
        <w:pStyle w:val="TextBody"/>
        <w:numPr>
          <w:ilvl w:val="0"/>
          <w:numId w:val="8"/>
        </w:numPr>
        <w:tabs>
          <w:tab w:val="clear" w:pos="708"/>
          <w:tab w:val="left" w:pos="0" w:leader="none"/>
        </w:tabs>
        <w:ind w:left="709" w:hanging="283"/>
        <w:rPr/>
      </w:pPr>
      <w:r>
        <w:rPr/>
        <w:t>Les services SaaS externes que nous utilisons mais qui ne font pas partie de notre infrastructure propre.</w:t>
      </w:r>
    </w:p>
    <w:p>
      <w:pPr>
        <w:pStyle w:val="Heading2"/>
        <w:ind w:left="0" w:hanging="0"/>
        <w:rPr/>
      </w:pPr>
      <w:bookmarkStart w:id="18" w:name="__RefHeading___Toc57936_2150708505"/>
      <w:bookmarkEnd w:id="18"/>
      <w:r>
        <w:rPr/>
        <w:t>Périmètre organisationnel</w:t>
      </w:r>
    </w:p>
    <w:p>
      <w:pPr>
        <w:pStyle w:val="TextBody"/>
        <w:rPr/>
      </w:pPr>
      <w:r>
        <w:rPr/>
        <w:t>Cette politique concerne l'ensemble des personnes ayant un rôle dans la gestion ou l'utilisation de notre infrastructure serveurs.</w:t>
      </w:r>
    </w:p>
    <w:p>
      <w:pPr>
        <w:pStyle w:val="TextBody"/>
        <w:numPr>
          <w:ilvl w:val="0"/>
          <w:numId w:val="9"/>
        </w:numPr>
        <w:tabs>
          <w:tab w:val="clear" w:pos="708"/>
          <w:tab w:val="left" w:pos="0" w:leader="none"/>
        </w:tabs>
        <w:ind w:left="709" w:hanging="283"/>
        <w:rPr/>
      </w:pPr>
      <w:r>
        <w:rPr/>
        <w:t>La Direction Générale valide la politique et ses évolutions majeures.</w:t>
      </w:r>
    </w:p>
    <w:p>
      <w:pPr>
        <w:pStyle w:val="TextBody"/>
        <w:numPr>
          <w:ilvl w:val="0"/>
          <w:numId w:val="9"/>
        </w:numPr>
        <w:tabs>
          <w:tab w:val="clear" w:pos="708"/>
          <w:tab w:val="left" w:pos="0" w:leader="none"/>
        </w:tabs>
        <w:ind w:left="709" w:hanging="283"/>
        <w:rPr/>
      </w:pPr>
      <w:r>
        <w:rPr/>
        <w:t>Le Responsable Services Internes est responsable de sa mise en œuvre au quotidien.</w:t>
      </w:r>
    </w:p>
    <w:p>
      <w:pPr>
        <w:pStyle w:val="TextBody"/>
        <w:numPr>
          <w:ilvl w:val="0"/>
          <w:numId w:val="9"/>
        </w:numPr>
        <w:tabs>
          <w:tab w:val="clear" w:pos="708"/>
          <w:tab w:val="left" w:pos="0" w:leader="none"/>
        </w:tabs>
        <w:ind w:left="709" w:hanging="283"/>
        <w:rPr/>
      </w:pPr>
      <w:r>
        <w:rPr/>
        <w:t>Les administrateurs systèmes appliquent concrètement les mesures techniques définies.</w:t>
      </w:r>
    </w:p>
    <w:p>
      <w:pPr>
        <w:pStyle w:val="TextBody"/>
        <w:numPr>
          <w:ilvl w:val="0"/>
          <w:numId w:val="9"/>
        </w:numPr>
        <w:tabs>
          <w:tab w:val="clear" w:pos="708"/>
          <w:tab w:val="left" w:pos="0" w:leader="none"/>
        </w:tabs>
        <w:ind w:left="709" w:hanging="283"/>
        <w:rPr/>
      </w:pPr>
      <w:r>
        <w:rPr/>
        <w:t>Les développeurs ayant accès aux serveurs doivent respecter scrupuleusement les règles établies.</w:t>
      </w:r>
    </w:p>
    <w:p>
      <w:pPr>
        <w:pStyle w:val="TextBody"/>
        <w:numPr>
          <w:ilvl w:val="0"/>
          <w:numId w:val="9"/>
        </w:numPr>
        <w:tabs>
          <w:tab w:val="clear" w:pos="708"/>
          <w:tab w:val="left" w:pos="0" w:leader="none"/>
        </w:tabs>
        <w:ind w:left="709" w:hanging="283"/>
        <w:rPr/>
      </w:pPr>
      <w:r>
        <w:rPr/>
        <w:t>Les propriétaires métier valident les demandes d'accès pour leurs applications.</w:t>
      </w:r>
    </w:p>
    <w:p>
      <w:pPr>
        <w:pStyle w:val="TextBody"/>
        <w:numPr>
          <w:ilvl w:val="0"/>
          <w:numId w:val="9"/>
        </w:numPr>
        <w:tabs>
          <w:tab w:val="clear" w:pos="708"/>
          <w:tab w:val="left" w:pos="0" w:leader="none"/>
        </w:tabs>
        <w:ind w:left="709" w:hanging="283"/>
        <w:rPr/>
      </w:pPr>
      <w:r>
        <w:rPr/>
        <w:t>Tous les utilisateurs disposant d'un accès aux serveurs, quel que soit leur rôle, sont tenus de respecter cette politique.</w:t>
      </w:r>
    </w:p>
    <w:p>
      <w:pPr>
        <w:pStyle w:val="Heading2"/>
        <w:ind w:left="0" w:hanging="0"/>
        <w:rPr/>
      </w:pPr>
      <w:bookmarkStart w:id="19" w:name="__RefHeading___Toc57938_2150708505"/>
      <w:bookmarkEnd w:id="19"/>
      <w:r>
        <w:rPr/>
        <w:t>Données concernées</w:t>
      </w:r>
    </w:p>
    <w:p>
      <w:pPr>
        <w:pStyle w:val="TextBody"/>
        <w:rPr/>
      </w:pPr>
      <w:r>
        <w:rPr/>
        <w:t>Cette politique s'applique à toutes les données hébergées sur nos serveurs, avec une attention particulière portée à certaines catégories sensibles.</w:t>
      </w:r>
    </w:p>
    <w:p>
      <w:pPr>
        <w:pStyle w:val="TextBody"/>
        <w:numPr>
          <w:ilvl w:val="0"/>
          <w:numId w:val="10"/>
        </w:numPr>
        <w:tabs>
          <w:tab w:val="clear" w:pos="708"/>
          <w:tab w:val="left" w:pos="0" w:leader="none"/>
        </w:tabs>
        <w:ind w:left="709" w:hanging="283"/>
        <w:rPr/>
      </w:pPr>
      <w:r>
        <w:rPr/>
        <w:t>Les données personnelles, telles que les noms, adresses email ou numéros de téléphone, sont soumises aux exigences de conformité APDP et bénéficient de mesures de protection spécifiques.</w:t>
      </w:r>
    </w:p>
    <w:p>
      <w:pPr>
        <w:pStyle w:val="TextBody"/>
        <w:numPr>
          <w:ilvl w:val="0"/>
          <w:numId w:val="10"/>
        </w:numPr>
        <w:tabs>
          <w:tab w:val="clear" w:pos="708"/>
          <w:tab w:val="left" w:pos="0" w:leader="none"/>
        </w:tabs>
        <w:ind w:left="709" w:hanging="283"/>
        <w:rPr/>
      </w:pPr>
      <w:r>
        <w:rPr/>
        <w:t>Les données sensibles, notamment celles concernant la santé, l'origine ethnique ou les opinions politiques, font l'objet d'une protection renforcée.</w:t>
      </w:r>
    </w:p>
    <w:p>
      <w:pPr>
        <w:pStyle w:val="TextBody"/>
        <w:numPr>
          <w:ilvl w:val="0"/>
          <w:numId w:val="10"/>
        </w:numPr>
        <w:tabs>
          <w:tab w:val="clear" w:pos="708"/>
          <w:tab w:val="left" w:pos="0" w:leader="none"/>
        </w:tabs>
        <w:ind w:left="709" w:hanging="283"/>
        <w:rPr/>
      </w:pPr>
      <w:r>
        <w:rPr/>
        <w:t>Les données métier, qu'elles soient financières, commerciales ou relatives aux ressources humaines, sont également protégées selon leur criticité.</w:t>
      </w:r>
    </w:p>
    <w:p>
      <w:pPr>
        <w:pStyle w:val="TextBody"/>
        <w:numPr>
          <w:ilvl w:val="0"/>
          <w:numId w:val="10"/>
        </w:numPr>
        <w:tabs>
          <w:tab w:val="clear" w:pos="708"/>
          <w:tab w:val="left" w:pos="0" w:leader="none"/>
        </w:tabs>
        <w:ind w:left="709" w:hanging="283"/>
        <w:rPr/>
      </w:pPr>
      <w:r>
        <w:rPr/>
        <w:t>Les données techniques comme les configurations, logs et sauvegardes sont sécurisées pour éviter qu'elles ne deviennent un vecteur d'attaque.</w:t>
      </w:r>
    </w:p>
    <w:p>
      <w:pPr>
        <w:pStyle w:val="Heading1"/>
        <w:ind w:left="0" w:hanging="0"/>
        <w:rPr/>
      </w:pPr>
      <w:bookmarkStart w:id="20" w:name="__RefHeading___Toc57940_2150708505"/>
      <w:bookmarkEnd w:id="20"/>
      <w:r>
        <w:rPr/>
        <w:t>RESPONSABILITÉS</w:t>
      </w:r>
    </w:p>
    <w:p>
      <w:pPr>
        <w:pStyle w:val="Heading2"/>
        <w:ind w:left="0" w:hanging="0"/>
        <w:rPr/>
      </w:pPr>
      <w:bookmarkStart w:id="21" w:name="__RefHeading___Toc57942_2150708505"/>
      <w:bookmarkEnd w:id="21"/>
      <w:r>
        <w:rPr/>
        <w:t>Direction Générale</w:t>
      </w:r>
    </w:p>
    <w:p>
      <w:pPr>
        <w:pStyle w:val="TextBody"/>
        <w:rPr/>
      </w:pPr>
      <w:r>
        <w:rPr/>
        <w:t>La Direction Générale assume un rôle de gouvernance et de validation stratégique.</w:t>
      </w:r>
    </w:p>
    <w:p>
      <w:pPr>
        <w:pStyle w:val="TextBody"/>
        <w:numPr>
          <w:ilvl w:val="0"/>
          <w:numId w:val="11"/>
        </w:numPr>
        <w:tabs>
          <w:tab w:val="clear" w:pos="708"/>
          <w:tab w:val="left" w:pos="0" w:leader="none"/>
        </w:tabs>
        <w:ind w:left="709" w:hanging="283"/>
        <w:rPr/>
      </w:pPr>
      <w:r>
        <w:rPr/>
        <w:t>Elle approuve formellement la politique de sécurité ainsi que toutes ses évolutions majeures.</w:t>
      </w:r>
    </w:p>
    <w:p>
      <w:pPr>
        <w:pStyle w:val="TextBody"/>
        <w:numPr>
          <w:ilvl w:val="0"/>
          <w:numId w:val="11"/>
        </w:numPr>
        <w:tabs>
          <w:tab w:val="clear" w:pos="708"/>
          <w:tab w:val="left" w:pos="0" w:leader="none"/>
        </w:tabs>
        <w:ind w:left="709" w:hanging="283"/>
        <w:rPr/>
      </w:pPr>
      <w:r>
        <w:rPr/>
        <w:t>Elle alloue les ressources nécessaires à la mise en œuvre de cette politique, qu'il s'agisse de budget ou d'effectifs.</w:t>
      </w:r>
    </w:p>
    <w:p>
      <w:pPr>
        <w:pStyle w:val="TextBody"/>
        <w:numPr>
          <w:ilvl w:val="0"/>
          <w:numId w:val="11"/>
        </w:numPr>
        <w:tabs>
          <w:tab w:val="clear" w:pos="708"/>
          <w:tab w:val="left" w:pos="0" w:leader="none"/>
        </w:tabs>
        <w:ind w:left="709" w:hanging="283"/>
        <w:rPr/>
      </w:pPr>
      <w:r>
        <w:rPr/>
        <w:t>Pour garantir une séparation appropriée des pouvoirs, la Direction valide personnellement les accès de niveau 4, correspondant aux privilèges administratifs complets.</w:t>
      </w:r>
    </w:p>
    <w:p>
      <w:pPr>
        <w:pStyle w:val="TextBody"/>
        <w:numPr>
          <w:ilvl w:val="0"/>
          <w:numId w:val="11"/>
        </w:numPr>
        <w:tabs>
          <w:tab w:val="clear" w:pos="708"/>
          <w:tab w:val="left" w:pos="0" w:leader="none"/>
        </w:tabs>
        <w:ind w:left="709" w:hanging="283"/>
        <w:rPr/>
      </w:pPr>
      <w:r>
        <w:rPr/>
        <w:t>Elle est informée immédiatement de tout incident de sécurité majeur et valide le plan d'action en cas de violation de données personnelles devant être notifiée à l'APDP.</w:t>
      </w:r>
    </w:p>
    <w:p>
      <w:pPr>
        <w:pStyle w:val="Heading2"/>
        <w:ind w:left="0" w:hanging="0"/>
        <w:rPr/>
      </w:pPr>
      <w:bookmarkStart w:id="22" w:name="__RefHeading___Toc57944_2150708505"/>
      <w:bookmarkEnd w:id="22"/>
      <w:r>
        <w:rPr/>
        <w:t>Responsable Services Internes</w:t>
      </w:r>
    </w:p>
    <w:p>
      <w:pPr>
        <w:pStyle w:val="TextBody"/>
        <w:rPr/>
      </w:pPr>
      <w:r>
        <w:rPr/>
        <w:t>Le Responsable Services Internes est responsable de la mise en œuvre opérationnelle et du pilotage quotidien de cette politique.</w:t>
      </w:r>
    </w:p>
    <w:p>
      <w:pPr>
        <w:pStyle w:val="TextBody"/>
        <w:numPr>
          <w:ilvl w:val="0"/>
          <w:numId w:val="12"/>
        </w:numPr>
        <w:tabs>
          <w:tab w:val="clear" w:pos="708"/>
          <w:tab w:val="left" w:pos="0" w:leader="none"/>
        </w:tabs>
        <w:ind w:left="709" w:hanging="283"/>
        <w:rPr/>
      </w:pPr>
      <w:r>
        <w:rPr/>
        <w:t xml:space="preserve">Il définit et maintient à jour les standards de sécurité documentés dans le </w:t>
      </w:r>
      <w:r>
        <w:rPr>
          <w:rStyle w:val="StrongEmphasis"/>
        </w:rPr>
        <w:t>DOC-REF-01</w:t>
      </w:r>
      <w:r>
        <w:rPr/>
        <w:t>.</w:t>
      </w:r>
    </w:p>
    <w:p>
      <w:pPr>
        <w:pStyle w:val="TextBody"/>
        <w:numPr>
          <w:ilvl w:val="0"/>
          <w:numId w:val="12"/>
        </w:numPr>
        <w:tabs>
          <w:tab w:val="clear" w:pos="708"/>
          <w:tab w:val="left" w:pos="0" w:leader="none"/>
        </w:tabs>
        <w:ind w:left="709" w:hanging="283"/>
        <w:rPr/>
      </w:pPr>
      <w:r>
        <w:rPr/>
        <w:t xml:space="preserve">Il gère l'ensemble des accès aux serveurs selon la matrice documentée dans le </w:t>
      </w:r>
      <w:r>
        <w:rPr>
          <w:rStyle w:val="StrongEmphasis"/>
        </w:rPr>
        <w:t>DOC-OPS-02</w:t>
      </w:r>
      <w:r>
        <w:rPr/>
        <w:t>, supervise la conformité des serveurs aux standards établis et coordonne les audits de sécurité réguliers.</w:t>
      </w:r>
    </w:p>
    <w:p>
      <w:pPr>
        <w:pStyle w:val="TextBody"/>
        <w:numPr>
          <w:ilvl w:val="0"/>
          <w:numId w:val="12"/>
        </w:numPr>
        <w:tabs>
          <w:tab w:val="clear" w:pos="708"/>
          <w:tab w:val="left" w:pos="0" w:leader="none"/>
        </w:tabs>
        <w:ind w:left="709" w:hanging="283"/>
        <w:rPr/>
      </w:pPr>
      <w:r>
        <w:rPr/>
        <w:t>En cas d'incident de sécurité, il en assure la gestion selon les procédures établies.</w:t>
      </w:r>
    </w:p>
    <w:p>
      <w:pPr>
        <w:pStyle w:val="TextBody"/>
        <w:numPr>
          <w:ilvl w:val="0"/>
          <w:numId w:val="12"/>
        </w:numPr>
        <w:tabs>
          <w:tab w:val="clear" w:pos="708"/>
          <w:tab w:val="left" w:pos="0" w:leader="none"/>
        </w:tabs>
        <w:ind w:left="709" w:hanging="283"/>
        <w:rPr/>
      </w:pPr>
      <w:r>
        <w:rPr/>
        <w:t>Il veille à la conformité avec les exigences APDP et dispense les formations nécessaires aux utilisateurs sur les bonnes pratiques de sécurité.</w:t>
      </w:r>
    </w:p>
    <w:p>
      <w:pPr>
        <w:pStyle w:val="TextBody"/>
        <w:numPr>
          <w:ilvl w:val="0"/>
          <w:numId w:val="12"/>
        </w:numPr>
        <w:tabs>
          <w:tab w:val="clear" w:pos="708"/>
          <w:tab w:val="left" w:pos="0" w:leader="none"/>
        </w:tabs>
        <w:ind w:left="709" w:hanging="283"/>
        <w:rPr/>
      </w:pPr>
      <w:r>
        <w:rPr/>
        <w:t>Il rapporte régulièrement à la Direction sur les incidents, l'état de la conformité et les besoins budgétaires.</w:t>
      </w:r>
    </w:p>
    <w:p>
      <w:pPr>
        <w:pStyle w:val="Heading2"/>
        <w:ind w:left="0" w:hanging="0"/>
        <w:rPr/>
      </w:pPr>
      <w:bookmarkStart w:id="23" w:name="__RefHeading___Toc57946_2150708505"/>
      <w:bookmarkEnd w:id="23"/>
      <w:r>
        <w:rPr/>
        <w:t>Administrateurs systèmes</w:t>
      </w:r>
    </w:p>
    <w:p>
      <w:pPr>
        <w:pStyle w:val="TextBody"/>
        <w:rPr/>
      </w:pPr>
      <w:r>
        <w:rPr/>
        <w:t>Les administrateurs systèmes sont responsables de l'exécution technique des mesures de sécurité.</w:t>
      </w:r>
    </w:p>
    <w:p>
      <w:pPr>
        <w:pStyle w:val="TextBody"/>
        <w:numPr>
          <w:ilvl w:val="0"/>
          <w:numId w:val="13"/>
        </w:numPr>
        <w:tabs>
          <w:tab w:val="clear" w:pos="708"/>
          <w:tab w:val="left" w:pos="0" w:leader="none"/>
        </w:tabs>
        <w:ind w:left="709" w:hanging="283"/>
        <w:rPr/>
      </w:pPr>
      <w:r>
        <w:rPr/>
        <w:t xml:space="preserve">Ils appliquent la configuration de référence (baseline) sur tous les serveurs conformément au </w:t>
      </w:r>
      <w:r>
        <w:rPr>
          <w:rStyle w:val="StrongEmphasis"/>
        </w:rPr>
        <w:t>DOC-REF-01</w:t>
      </w:r>
      <w:r>
        <w:rPr/>
        <w:t xml:space="preserve"> et suivent scrupuleusement les procédures de mise en service sécurisée documentées dans </w:t>
      </w:r>
      <w:r>
        <w:rPr>
          <w:rStyle w:val="StrongEmphasis"/>
        </w:rPr>
        <w:t>PROC-01</w:t>
      </w:r>
      <w:r>
        <w:rPr/>
        <w:t>.</w:t>
      </w:r>
    </w:p>
    <w:p>
      <w:pPr>
        <w:pStyle w:val="TextBody"/>
        <w:numPr>
          <w:ilvl w:val="0"/>
          <w:numId w:val="13"/>
        </w:numPr>
        <w:tabs>
          <w:tab w:val="clear" w:pos="708"/>
          <w:tab w:val="left" w:pos="0" w:leader="none"/>
        </w:tabs>
        <w:ind w:left="709" w:hanging="283"/>
        <w:rPr/>
      </w:pPr>
      <w:r>
        <w:rPr/>
        <w:t>Ils effectuent les mises à jour de sécurité dans les délais requis, gèrent l'ensemble du cycle de vie des sauvegardes et des restaurations, et surveillent activement les logs et alertes de sécurité.</w:t>
      </w:r>
    </w:p>
    <w:p>
      <w:pPr>
        <w:pStyle w:val="TextBody"/>
        <w:numPr>
          <w:ilvl w:val="0"/>
          <w:numId w:val="13"/>
        </w:numPr>
        <w:tabs>
          <w:tab w:val="clear" w:pos="708"/>
          <w:tab w:val="left" w:pos="0" w:leader="none"/>
        </w:tabs>
        <w:ind w:left="709" w:hanging="283"/>
        <w:rPr/>
      </w:pPr>
      <w:r>
        <w:rPr/>
        <w:t xml:space="preserve">Ils maintiennent à jour la documentation des serveurs dans le </w:t>
      </w:r>
      <w:r>
        <w:rPr>
          <w:rStyle w:val="StrongEmphasis"/>
        </w:rPr>
        <w:t>DOC-OPS-01</w:t>
      </w:r>
      <w:r>
        <w:rPr/>
        <w:t xml:space="preserve"> et respectent en toutes circonstances les bonnes pratiques de sécurité établies.</w:t>
      </w:r>
    </w:p>
    <w:p>
      <w:pPr>
        <w:pStyle w:val="Heading2"/>
        <w:ind w:left="0" w:hanging="0"/>
        <w:rPr/>
      </w:pPr>
      <w:bookmarkStart w:id="24" w:name="__RefHeading___Toc57948_2150708505"/>
      <w:bookmarkEnd w:id="24"/>
      <w:r>
        <w:rPr/>
        <w:t>Propriétaires métier</w:t>
      </w:r>
    </w:p>
    <w:p>
      <w:pPr>
        <w:pStyle w:val="TextBody"/>
        <w:rPr/>
      </w:pPr>
      <w:r>
        <w:rPr/>
        <w:t>Les propriétaires métier sont les responsables fonctionnels des applications hébergées sur nos serveurs.</w:t>
      </w:r>
    </w:p>
    <w:p>
      <w:pPr>
        <w:pStyle w:val="TextBody"/>
        <w:numPr>
          <w:ilvl w:val="0"/>
          <w:numId w:val="14"/>
        </w:numPr>
        <w:tabs>
          <w:tab w:val="clear" w:pos="708"/>
          <w:tab w:val="left" w:pos="0" w:leader="none"/>
        </w:tabs>
        <w:ind w:left="709" w:hanging="283"/>
        <w:rPr/>
      </w:pPr>
      <w:r>
        <w:rPr/>
        <w:t>Ils définissent les besoins en accès pour leurs équipes, en identifiant précisément qui doit accéder à quoi.</w:t>
      </w:r>
    </w:p>
    <w:p>
      <w:pPr>
        <w:pStyle w:val="TextBody"/>
        <w:numPr>
          <w:ilvl w:val="0"/>
          <w:numId w:val="14"/>
        </w:numPr>
        <w:tabs>
          <w:tab w:val="clear" w:pos="708"/>
          <w:tab w:val="left" w:pos="0" w:leader="none"/>
        </w:tabs>
        <w:ind w:left="709" w:hanging="283"/>
        <w:rPr/>
      </w:pPr>
      <w:r>
        <w:rPr/>
        <w:t>Ils valident chaque demande d'accès concernant leurs serveurs ou applications.</w:t>
      </w:r>
    </w:p>
    <w:p>
      <w:pPr>
        <w:pStyle w:val="TextBody"/>
        <w:numPr>
          <w:ilvl w:val="0"/>
          <w:numId w:val="14"/>
        </w:numPr>
        <w:tabs>
          <w:tab w:val="clear" w:pos="708"/>
          <w:tab w:val="left" w:pos="0" w:leader="none"/>
        </w:tabs>
        <w:ind w:left="709" w:hanging="283"/>
        <w:rPr/>
      </w:pPr>
      <w:r>
        <w:rPr/>
        <w:t>Ils participent activement aux revues d'accès semestrielles pour s'assurer que seules les personnes appropriées conservent leurs accès.</w:t>
      </w:r>
    </w:p>
    <w:p>
      <w:pPr>
        <w:pStyle w:val="TextBody"/>
        <w:numPr>
          <w:ilvl w:val="0"/>
          <w:numId w:val="14"/>
        </w:numPr>
        <w:tabs>
          <w:tab w:val="clear" w:pos="708"/>
          <w:tab w:val="left" w:pos="0" w:leader="none"/>
        </w:tabs>
        <w:ind w:left="709" w:hanging="283"/>
        <w:rPr/>
      </w:pPr>
      <w:r>
        <w:rPr/>
        <w:t>Ils informent immédiatement le Responsable SI de tout départ ou changement de fonction dans leurs équipes.</w:t>
      </w:r>
    </w:p>
    <w:p>
      <w:pPr>
        <w:pStyle w:val="TextBody"/>
        <w:numPr>
          <w:ilvl w:val="0"/>
          <w:numId w:val="14"/>
        </w:numPr>
        <w:tabs>
          <w:tab w:val="clear" w:pos="708"/>
          <w:tab w:val="left" w:pos="0" w:leader="none"/>
        </w:tabs>
        <w:ind w:left="709" w:hanging="283"/>
        <w:rPr/>
      </w:pPr>
      <w:r>
        <w:rPr/>
        <w:t>Ils définissent la criticité de leurs applications et les exigences de disponibilité associées.</w:t>
      </w:r>
    </w:p>
    <w:p>
      <w:pPr>
        <w:pStyle w:val="Heading2"/>
        <w:ind w:left="0" w:hanging="0"/>
        <w:rPr/>
      </w:pPr>
      <w:bookmarkStart w:id="25" w:name="__RefHeading___Toc57950_2150708505"/>
      <w:bookmarkEnd w:id="25"/>
      <w:r>
        <w:rPr/>
        <w:t>Utilisateurs avec accès serveurs</w:t>
      </w:r>
    </w:p>
    <w:p>
      <w:pPr>
        <w:pStyle w:val="TextBody"/>
        <w:rPr/>
      </w:pPr>
      <w:r>
        <w:rPr/>
        <w:t>Tous les utilisateurs disposant d'un accès aux serveurs ont la responsabilité de respecter les règles d'accès et de sécurité établies.</w:t>
      </w:r>
    </w:p>
    <w:p>
      <w:pPr>
        <w:pStyle w:val="TextBody"/>
        <w:numPr>
          <w:ilvl w:val="0"/>
          <w:numId w:val="15"/>
        </w:numPr>
        <w:tabs>
          <w:tab w:val="clear" w:pos="708"/>
          <w:tab w:val="left" w:pos="0" w:leader="none"/>
        </w:tabs>
        <w:ind w:left="709" w:hanging="283"/>
        <w:rPr/>
      </w:pPr>
      <w:r>
        <w:rPr/>
        <w:t>Ils doivent protéger rigoureusement leurs identifiants, qu'il s'agisse de mots de passe ou de clés SSH privées.</w:t>
      </w:r>
    </w:p>
    <w:p>
      <w:pPr>
        <w:pStyle w:val="TextBody"/>
        <w:numPr>
          <w:ilvl w:val="0"/>
          <w:numId w:val="15"/>
        </w:numPr>
        <w:tabs>
          <w:tab w:val="clear" w:pos="708"/>
          <w:tab w:val="left" w:pos="0" w:leader="none"/>
        </w:tabs>
        <w:ind w:left="709" w:hanging="283"/>
        <w:rPr/>
      </w:pPr>
      <w:r>
        <w:rPr/>
        <w:t xml:space="preserve">L'utilisation de </w:t>
      </w:r>
      <w:r>
        <w:rPr>
          <w:rStyle w:val="StrongEmphasis"/>
        </w:rPr>
        <w:t>NetByUs Password Manager (Passbolt)</w:t>
      </w:r>
      <w:r>
        <w:rPr/>
        <w:t xml:space="preserve"> est obligatoire pour tout stockage de mot de passe.</w:t>
      </w:r>
    </w:p>
    <w:p>
      <w:pPr>
        <w:pStyle w:val="TextBody"/>
        <w:numPr>
          <w:ilvl w:val="0"/>
          <w:numId w:val="15"/>
        </w:numPr>
        <w:tabs>
          <w:tab w:val="clear" w:pos="708"/>
          <w:tab w:val="left" w:pos="0" w:leader="none"/>
        </w:tabs>
        <w:ind w:left="709" w:hanging="283"/>
        <w:rPr/>
      </w:pPr>
      <w:r>
        <w:rPr/>
        <w:t>Le partage de comptes est formellement interdit, chacun ne devant utiliser que son propre compte nominatif.</w:t>
      </w:r>
    </w:p>
    <w:p>
      <w:pPr>
        <w:pStyle w:val="TextBody"/>
        <w:numPr>
          <w:ilvl w:val="0"/>
          <w:numId w:val="15"/>
        </w:numPr>
        <w:tabs>
          <w:tab w:val="clear" w:pos="708"/>
          <w:tab w:val="left" w:pos="0" w:leader="none"/>
        </w:tabs>
        <w:ind w:left="709" w:hanging="283"/>
        <w:rPr/>
      </w:pPr>
      <w:r>
        <w:rPr/>
        <w:t>En cas de suspicion de compromission de leur compte, ils doivent le signaler immédiatement.</w:t>
      </w:r>
    </w:p>
    <w:p>
      <w:pPr>
        <w:pStyle w:val="TextBody"/>
        <w:numPr>
          <w:ilvl w:val="0"/>
          <w:numId w:val="15"/>
        </w:numPr>
        <w:tabs>
          <w:tab w:val="clear" w:pos="708"/>
          <w:tab w:val="left" w:pos="0" w:leader="none"/>
        </w:tabs>
        <w:ind w:left="709" w:hanging="283"/>
        <w:rPr/>
      </w:pPr>
      <w:r>
        <w:rPr/>
        <w:t>Les utilisateurs accédant à des serveurs hébergeant des données personnelles doivent obligatoirement suivre la formation APDP et respecter scrupuleusement les obligations de confidentialité et de limitation d'usage des données.</w:t>
      </w:r>
    </w:p>
    <w:p>
      <w:pPr>
        <w:pStyle w:val="Heading1"/>
        <w:ind w:left="0" w:hanging="0"/>
        <w:rPr/>
      </w:pPr>
      <w:bookmarkStart w:id="26" w:name="__RefHeading___Toc57952_2150708505"/>
      <w:bookmarkEnd w:id="26"/>
      <w:r>
        <w:rPr/>
        <w:t>RÈGLES DE SÉCURITÉ FONDAMENTALES</w:t>
      </w:r>
    </w:p>
    <w:p>
      <w:pPr>
        <w:pStyle w:val="Heading2"/>
        <w:ind w:left="0" w:hanging="0"/>
        <w:rPr/>
      </w:pPr>
      <w:bookmarkStart w:id="27" w:name="__RefHeading___Toc57954_2150708505"/>
      <w:bookmarkEnd w:id="27"/>
      <w:r>
        <w:rPr/>
        <w:t>Contrôle d'accès</w:t>
      </w:r>
    </w:p>
    <w:p>
      <w:pPr>
        <w:pStyle w:val="Heading4"/>
        <w:spacing w:before="0" w:after="283"/>
        <w:ind w:left="0" w:hanging="0"/>
        <w:rPr>
          <w:rFonts w:ascii="Arial" w:hAnsi="Arial" w:eastAsia="Arial" w:cs="Arial"/>
          <w:b/>
          <w:b/>
          <w:bCs/>
          <w:i w:val="false"/>
          <w:i w:val="false"/>
          <w:iCs w:val="false"/>
          <w:color w:val="014276"/>
          <w:kern w:val="0"/>
          <w:sz w:val="22"/>
          <w:szCs w:val="22"/>
          <w:lang w:val="fr-FR" w:eastAsia="fr-FR" w:bidi="ar-SA"/>
        </w:rPr>
      </w:pPr>
      <w:bookmarkStart w:id="28" w:name="__RefHeading___Toc57956_2150708505"/>
      <w:bookmarkEnd w:id="28"/>
      <w:r>
        <w:rPr>
          <w:rFonts w:eastAsia="Arial" w:cs="Arial"/>
          <w:b/>
          <w:bCs/>
          <w:i w:val="false"/>
          <w:iCs w:val="false"/>
          <w:color w:val="014276"/>
          <w:kern w:val="0"/>
          <w:sz w:val="22"/>
          <w:szCs w:val="22"/>
          <w:lang w:val="fr-FR" w:eastAsia="fr-FR" w:bidi="ar-SA"/>
        </w:rPr>
        <w:t>Comptes utilisateurs</w:t>
      </w:r>
    </w:p>
    <w:p>
      <w:pPr>
        <w:pStyle w:val="TextBody"/>
        <w:rPr/>
      </w:pPr>
      <w:r>
        <w:rPr/>
        <w:t>L'utilisation de comptes nominatifs est absolument obligatoire pour tous les utilisateurs.</w:t>
      </w:r>
    </w:p>
    <w:p>
      <w:pPr>
        <w:pStyle w:val="TextBody"/>
        <w:numPr>
          <w:ilvl w:val="0"/>
          <w:numId w:val="16"/>
        </w:numPr>
        <w:tabs>
          <w:tab w:val="clear" w:pos="708"/>
          <w:tab w:val="left" w:pos="0" w:leader="none"/>
        </w:tabs>
        <w:ind w:left="709" w:hanging="283"/>
        <w:rPr/>
      </w:pPr>
      <w:r>
        <w:rPr/>
        <w:t>Chaque compte doit être créé au format prénom en minuscules, permettant une identification claire de chaque personne.</w:t>
      </w:r>
    </w:p>
    <w:p>
      <w:pPr>
        <w:pStyle w:val="TextBody"/>
        <w:numPr>
          <w:ilvl w:val="0"/>
          <w:numId w:val="16"/>
        </w:numPr>
        <w:tabs>
          <w:tab w:val="clear" w:pos="708"/>
          <w:tab w:val="left" w:pos="0" w:leader="none"/>
        </w:tabs>
        <w:ind w:left="709" w:hanging="283"/>
        <w:rPr/>
      </w:pPr>
      <w:r>
        <w:rPr/>
        <w:t>L'utilisation de comptes génériques tels que "admin", "user" ou "support" est formellement interdite, car elle rend impossible la traçabilité des actions.</w:t>
      </w:r>
    </w:p>
    <w:p>
      <w:pPr>
        <w:pStyle w:val="TextBody"/>
        <w:numPr>
          <w:ilvl w:val="0"/>
          <w:numId w:val="16"/>
        </w:numPr>
        <w:tabs>
          <w:tab w:val="clear" w:pos="708"/>
          <w:tab w:val="left" w:pos="0" w:leader="none"/>
        </w:tabs>
        <w:ind w:left="709" w:hanging="283"/>
        <w:rPr/>
      </w:pPr>
      <w:r>
        <w:rPr/>
        <w:t>Le partage de comptes entre plu</w:t>
      </w:r>
      <w:r>
        <w:rPr>
          <w:b/>
          <w:bCs/>
          <w:color w:val="F07817"/>
        </w:rPr>
        <w:t>Nous nous engageons à coopérer pleinement avec tous les auditeurs légitimes.</w:t>
      </w:r>
      <w:r>
        <w:rPr/>
        <w:t>sieurs personnes est également interdit, chacun devant disposer de son propre compte personnel.</w:t>
      </w:r>
    </w:p>
    <w:p>
      <w:pPr>
        <w:pStyle w:val="TextBody"/>
        <w:numPr>
          <w:ilvl w:val="0"/>
          <w:numId w:val="16"/>
        </w:numPr>
        <w:tabs>
          <w:tab w:val="clear" w:pos="708"/>
          <w:tab w:val="left" w:pos="0" w:leader="none"/>
        </w:tabs>
        <w:ind w:left="709" w:hanging="283"/>
        <w:rPr/>
      </w:pPr>
      <w:r>
        <w:rPr/>
        <w:t xml:space="preserve">Lorsqu'un collaborateur quitte l'entreprise ou change de fonction, tous ses accès doivent être révoqués immédiatement, sans exception. </w:t>
      </w:r>
    </w:p>
    <w:p>
      <w:pPr>
        <w:pStyle w:val="TextBody"/>
        <w:numPr>
          <w:ilvl w:val="0"/>
          <w:numId w:val="0"/>
        </w:numPr>
        <w:ind w:left="0" w:hanging="0"/>
        <w:rPr/>
      </w:pPr>
      <w:r>
        <w:rPr/>
        <w:t xml:space="preserve">Ces règles sont détaillées dans le </w:t>
      </w:r>
      <w:r>
        <w:rPr>
          <w:rStyle w:val="StrongEmphasis"/>
        </w:rPr>
        <w:t>DOC-REF-01</w:t>
      </w:r>
      <w:r>
        <w:rPr/>
        <w:t xml:space="preserve">, section </w:t>
      </w:r>
      <w:r>
        <w:rPr>
          <w:rStyle w:val="StrongEmphasis"/>
        </w:rPr>
        <w:t>REF-COMPTES</w:t>
      </w:r>
      <w:r>
        <w:rPr/>
        <w:t>.</w:t>
      </w:r>
    </w:p>
    <w:p>
      <w:pPr>
        <w:pStyle w:val="Heading4"/>
        <w:spacing w:before="0" w:after="283"/>
        <w:ind w:left="0" w:hanging="0"/>
        <w:rPr/>
      </w:pPr>
      <w:bookmarkStart w:id="29" w:name="__RefHeading___Toc57958_2150708505"/>
      <w:bookmarkEnd w:id="29"/>
      <w:r>
        <w:rPr>
          <w:rFonts w:eastAsia="Arial" w:cs="Arial"/>
          <w:b/>
          <w:bCs/>
          <w:i w:val="false"/>
          <w:iCs w:val="false"/>
          <w:color w:val="014276"/>
          <w:kern w:val="0"/>
          <w:sz w:val="22"/>
          <w:szCs w:val="22"/>
          <w:lang w:val="fr-FR" w:eastAsia="fr-FR" w:bidi="ar-SA"/>
        </w:rPr>
        <w:t>Authentification</w:t>
      </w:r>
    </w:p>
    <w:p>
      <w:pPr>
        <w:pStyle w:val="TextBody"/>
        <w:rPr/>
      </w:pPr>
      <w:r>
        <w:rPr/>
        <w:t>L'authentification sur nos serveurs s'effectue exclusivement par clés SSH, utilisant les algorithmes ED25519 ou RSA avec une longueur minimale de 4096 bits.</w:t>
      </w:r>
    </w:p>
    <w:p>
      <w:pPr>
        <w:pStyle w:val="TextBody"/>
        <w:numPr>
          <w:ilvl w:val="0"/>
          <w:numId w:val="17"/>
        </w:numPr>
        <w:tabs>
          <w:tab w:val="clear" w:pos="708"/>
          <w:tab w:val="left" w:pos="0" w:leader="none"/>
        </w:tabs>
        <w:ind w:left="709" w:hanging="283"/>
        <w:rPr/>
      </w:pPr>
      <w:r>
        <w:rPr/>
        <w:t>L'authentification par mot de passe SSH est totalement interdite car elle présente des risques de sécurité trop élevés.</w:t>
      </w:r>
    </w:p>
    <w:p>
      <w:pPr>
        <w:pStyle w:val="TextBody"/>
        <w:numPr>
          <w:ilvl w:val="0"/>
          <w:numId w:val="17"/>
        </w:numPr>
        <w:tabs>
          <w:tab w:val="clear" w:pos="708"/>
          <w:tab w:val="left" w:pos="0" w:leader="none"/>
        </w:tabs>
        <w:ind w:left="709" w:hanging="283"/>
        <w:rPr/>
      </w:pPr>
      <w:r>
        <w:rPr/>
        <w:t>La connexion directe en tant que root via SSH est également interdite.</w:t>
      </w:r>
    </w:p>
    <w:p>
      <w:pPr>
        <w:pStyle w:val="TextBody"/>
        <w:numPr>
          <w:ilvl w:val="0"/>
          <w:numId w:val="17"/>
        </w:numPr>
        <w:tabs>
          <w:tab w:val="clear" w:pos="708"/>
          <w:tab w:val="left" w:pos="0" w:leader="none"/>
        </w:tabs>
        <w:ind w:left="709" w:hanging="283"/>
        <w:rPr/>
      </w:pPr>
      <w:r>
        <w:rPr/>
        <w:t>Pour réduire l'exposition aux scans automatisés, nous modifions le port SSH standard.</w:t>
      </w:r>
    </w:p>
    <w:p>
      <w:pPr>
        <w:pStyle w:val="TextBody"/>
        <w:numPr>
          <w:ilvl w:val="0"/>
          <w:numId w:val="17"/>
        </w:numPr>
        <w:tabs>
          <w:tab w:val="clear" w:pos="708"/>
          <w:tab w:val="left" w:pos="0" w:leader="none"/>
        </w:tabs>
        <w:ind w:left="709" w:hanging="283"/>
        <w:rPr/>
      </w:pPr>
      <w:r>
        <w:rPr/>
        <w:t>Concernant les mots de passe utilisés localement sur les serveurs, ils doivent comporter au minimum 14 caractères et respecter des critères de complexité incluant majuscules, minuscules, chiffres et caractères spéciaux.</w:t>
      </w:r>
    </w:p>
    <w:p>
      <w:pPr>
        <w:pStyle w:val="TextBody"/>
        <w:numPr>
          <w:ilvl w:val="0"/>
          <w:numId w:val="17"/>
        </w:numPr>
        <w:tabs>
          <w:tab w:val="clear" w:pos="708"/>
          <w:tab w:val="left" w:pos="0" w:leader="none"/>
        </w:tabs>
        <w:ind w:left="709" w:hanging="283"/>
        <w:rPr/>
      </w:pPr>
      <w:r>
        <w:rPr/>
        <w:t>La durée de validité des mots de passe est fixée à 90 jours maximum.</w:t>
      </w:r>
    </w:p>
    <w:p>
      <w:pPr>
        <w:pStyle w:val="TextBody"/>
        <w:numPr>
          <w:ilvl w:val="0"/>
          <w:numId w:val="17"/>
        </w:numPr>
        <w:tabs>
          <w:tab w:val="clear" w:pos="708"/>
          <w:tab w:val="left" w:pos="0" w:leader="none"/>
        </w:tabs>
        <w:ind w:left="709" w:hanging="283"/>
        <w:rPr/>
      </w:pPr>
      <w:r>
        <w:rPr/>
        <w:t xml:space="preserve">Tous les mots de passe doivent obligatoirement être stockés dans </w:t>
      </w:r>
      <w:r>
        <w:rPr>
          <w:rStyle w:val="StrongEmphasis"/>
        </w:rPr>
        <w:t>NetByUs Password Manager (Passbolt)</w:t>
      </w:r>
      <w:r>
        <w:rPr/>
        <w:t>, notre gestionnaire de mots de passe d'entreprise.</w:t>
      </w:r>
    </w:p>
    <w:p>
      <w:pPr>
        <w:pStyle w:val="TextBody"/>
        <w:numPr>
          <w:ilvl w:val="0"/>
          <w:numId w:val="0"/>
        </w:numPr>
        <w:ind w:left="0" w:hanging="0"/>
        <w:rPr/>
      </w:pPr>
      <w:r>
        <w:rPr/>
        <w:t xml:space="preserve">Ces règles sont détaillées dans le </w:t>
      </w:r>
      <w:r>
        <w:rPr>
          <w:rStyle w:val="StrongEmphasis"/>
        </w:rPr>
        <w:t>DOC-REF-01</w:t>
      </w:r>
      <w:r>
        <w:rPr/>
        <w:t xml:space="preserve">, sections </w:t>
      </w:r>
      <w:r>
        <w:rPr>
          <w:rStyle w:val="StrongEmphasis"/>
        </w:rPr>
        <w:t>REF-SSH</w:t>
      </w:r>
      <w:r>
        <w:rPr/>
        <w:t xml:space="preserve"> et </w:t>
      </w:r>
      <w:r>
        <w:rPr>
          <w:rStyle w:val="StrongEmphasis"/>
        </w:rPr>
        <w:t>REF-MDP</w:t>
      </w:r>
      <w:r>
        <w:rPr/>
        <w:t>.</w:t>
      </w:r>
    </w:p>
    <w:p>
      <w:pPr>
        <w:pStyle w:val="Heading4"/>
        <w:spacing w:before="0" w:after="283"/>
        <w:ind w:left="0" w:hanging="0"/>
        <w:rPr/>
      </w:pPr>
      <w:bookmarkStart w:id="30" w:name="__RefHeading___Toc57960_2150708505"/>
      <w:bookmarkEnd w:id="30"/>
      <w:r>
        <w:rPr>
          <w:rFonts w:eastAsia="Arial" w:cs="Arial"/>
          <w:b/>
          <w:bCs/>
          <w:i w:val="false"/>
          <w:iCs w:val="false"/>
          <w:color w:val="014276"/>
          <w:kern w:val="0"/>
          <w:sz w:val="22"/>
          <w:szCs w:val="22"/>
          <w:lang w:val="fr-FR" w:eastAsia="fr-FR" w:bidi="ar-SA"/>
        </w:rPr>
        <w:t>Niveaux de privilèges</w:t>
      </w:r>
    </w:p>
    <w:p>
      <w:pPr>
        <w:pStyle w:val="TextBody"/>
        <w:rPr/>
      </w:pPr>
      <w:r>
        <w:rPr/>
        <w:t>Nous avons défini une hiérarchie claire de privilèges, chacun ayant des permissions spécifiques.</w:t>
      </w:r>
    </w:p>
    <w:p>
      <w:pPr>
        <w:pStyle w:val="TextBody"/>
        <w:numPr>
          <w:ilvl w:val="0"/>
          <w:numId w:val="18"/>
        </w:numPr>
        <w:tabs>
          <w:tab w:val="clear" w:pos="708"/>
          <w:tab w:val="left" w:pos="0" w:leader="none"/>
        </w:tabs>
        <w:ind w:left="709" w:hanging="283"/>
        <w:rPr/>
      </w:pPr>
      <w:r>
        <w:rPr/>
        <w:t>Le niveau 1, "Lecture seule", permet uniquement la consultation des logs et fichiers sans possibilité de modification.</w:t>
      </w:r>
    </w:p>
    <w:p>
      <w:pPr>
        <w:pStyle w:val="TextBody"/>
        <w:numPr>
          <w:ilvl w:val="0"/>
          <w:numId w:val="18"/>
        </w:numPr>
        <w:tabs>
          <w:tab w:val="clear" w:pos="708"/>
          <w:tab w:val="left" w:pos="0" w:leader="none"/>
        </w:tabs>
        <w:ind w:left="709" w:hanging="283"/>
        <w:rPr/>
      </w:pPr>
      <w:r>
        <w:rPr/>
        <w:t>Le niveau 2, "Applicatif", autorise la gestion d'une application spécifique mais sans accès sudo.</w:t>
      </w:r>
    </w:p>
    <w:p>
      <w:pPr>
        <w:pStyle w:val="TextBody"/>
        <w:numPr>
          <w:ilvl w:val="0"/>
          <w:numId w:val="18"/>
        </w:numPr>
        <w:tabs>
          <w:tab w:val="clear" w:pos="708"/>
          <w:tab w:val="left" w:pos="0" w:leader="none"/>
        </w:tabs>
        <w:ind w:left="709" w:hanging="283"/>
        <w:rPr/>
      </w:pPr>
      <w:r>
        <w:rPr/>
        <w:t>Le niveau 3, "Admin limité", octroie des privilèges sudo limités à des services spécifiques.</w:t>
      </w:r>
    </w:p>
    <w:p>
      <w:pPr>
        <w:pStyle w:val="TextBody"/>
        <w:numPr>
          <w:ilvl w:val="0"/>
          <w:numId w:val="18"/>
        </w:numPr>
        <w:tabs>
          <w:tab w:val="clear" w:pos="708"/>
          <w:tab w:val="left" w:pos="0" w:leader="none"/>
        </w:tabs>
        <w:ind w:left="709" w:hanging="283"/>
        <w:rPr/>
      </w:pPr>
      <w:r>
        <w:rPr/>
        <w:t>Le niveau 4, "Admin complet", réservé uniquement au Responsable SI et à un administrateur de secours, permet l'utilisation de sudo sans limitation.</w:t>
      </w:r>
    </w:p>
    <w:p>
      <w:pPr>
        <w:pStyle w:val="TextBody"/>
        <w:numPr>
          <w:ilvl w:val="0"/>
          <w:numId w:val="18"/>
        </w:numPr>
        <w:tabs>
          <w:tab w:val="clear" w:pos="708"/>
          <w:tab w:val="left" w:pos="0" w:leader="none"/>
        </w:tabs>
        <w:ind w:left="709" w:hanging="283"/>
        <w:rPr/>
      </w:pPr>
      <w:r>
        <w:rPr/>
        <w:t xml:space="preserve">Enfin, le niveau 5, l'accès "Root", est réservé aux situations d'urgence uniquement, le mot de passe étant stocké dans </w:t>
      </w:r>
      <w:r>
        <w:rPr>
          <w:rStyle w:val="StrongEmphasis"/>
        </w:rPr>
        <w:t>NetByUs Password Manager (Passbolt)</w:t>
      </w:r>
      <w:r>
        <w:rPr/>
        <w:t>.</w:t>
      </w:r>
    </w:p>
    <w:p>
      <w:pPr>
        <w:pStyle w:val="TextBody"/>
        <w:rPr/>
      </w:pPr>
      <w:r>
        <w:rPr/>
        <w:t>La règle fondamentale est d'attribuer toujours le niveau de privilège le plus bas permettant à l'utilisateur d'effectuer son travail.</w:t>
      </w:r>
    </w:p>
    <w:p>
      <w:pPr>
        <w:pStyle w:val="TextBody"/>
        <w:rPr/>
      </w:pPr>
      <w:r>
        <w:rPr/>
        <w:t xml:space="preserve">L'attribution des niveaux est documentée dans la matrice des accès du </w:t>
      </w:r>
      <w:r>
        <w:rPr>
          <w:rStyle w:val="StrongEmphasis"/>
        </w:rPr>
        <w:t>DOC-OPS-02</w:t>
      </w:r>
      <w:r>
        <w:rPr/>
        <w:t>.</w:t>
      </w:r>
    </w:p>
    <w:p>
      <w:pPr>
        <w:pStyle w:val="Heading4"/>
        <w:spacing w:before="0" w:after="283"/>
        <w:ind w:left="0" w:hanging="0"/>
        <w:rPr/>
      </w:pPr>
      <w:bookmarkStart w:id="31" w:name="__RefHeading___Toc57962_2150708505"/>
      <w:bookmarkEnd w:id="31"/>
      <w:r>
        <w:rPr>
          <w:rFonts w:eastAsia="Arial" w:cs="Arial"/>
          <w:b/>
          <w:bCs/>
          <w:i w:val="false"/>
          <w:iCs w:val="false"/>
          <w:color w:val="014276"/>
          <w:kern w:val="0"/>
          <w:sz w:val="22"/>
          <w:szCs w:val="22"/>
          <w:lang w:val="fr-FR" w:eastAsia="fr-FR" w:bidi="ar-SA"/>
        </w:rPr>
        <w:t>Revue des accès</w:t>
      </w:r>
    </w:p>
    <w:p>
      <w:pPr>
        <w:pStyle w:val="TextBody"/>
        <w:numPr>
          <w:ilvl w:val="0"/>
          <w:numId w:val="19"/>
        </w:numPr>
        <w:tabs>
          <w:tab w:val="clear" w:pos="708"/>
          <w:tab w:val="left" w:pos="0" w:leader="none"/>
        </w:tabs>
        <w:ind w:left="709" w:hanging="283"/>
        <w:rPr/>
      </w:pPr>
      <w:r>
        <w:rPr/>
        <w:t>Les accès aux serveurs sont revus régulièrement selon des fréquences obligatoires définies en fonction de la sensibilité des données.</w:t>
      </w:r>
    </w:p>
    <w:p>
      <w:pPr>
        <w:pStyle w:val="TextBody"/>
        <w:numPr>
          <w:ilvl w:val="0"/>
          <w:numId w:val="19"/>
        </w:numPr>
        <w:tabs>
          <w:tab w:val="clear" w:pos="708"/>
          <w:tab w:val="left" w:pos="0" w:leader="none"/>
        </w:tabs>
        <w:ind w:left="709" w:hanging="283"/>
        <w:rPr/>
      </w:pPr>
      <w:r>
        <w:rPr/>
        <w:t>Pour les serveurs standards, une revue semestrielle est effectuée, soit tous les 6 mois.</w:t>
      </w:r>
    </w:p>
    <w:p>
      <w:pPr>
        <w:pStyle w:val="TextBody"/>
        <w:numPr>
          <w:ilvl w:val="0"/>
          <w:numId w:val="19"/>
        </w:numPr>
        <w:tabs>
          <w:tab w:val="clear" w:pos="708"/>
          <w:tab w:val="left" w:pos="0" w:leader="none"/>
        </w:tabs>
        <w:ind w:left="709" w:hanging="283"/>
        <w:rPr/>
      </w:pPr>
      <w:r>
        <w:rPr/>
        <w:t>Les serveurs hébergeant des données personnelles font l'objet d'une revue trimestrielle, tous les 3 mois.</w:t>
      </w:r>
    </w:p>
    <w:p>
      <w:pPr>
        <w:pStyle w:val="TextBody"/>
        <w:numPr>
          <w:ilvl w:val="0"/>
          <w:numId w:val="19"/>
        </w:numPr>
        <w:tabs>
          <w:tab w:val="clear" w:pos="708"/>
          <w:tab w:val="left" w:pos="0" w:leader="none"/>
        </w:tabs>
        <w:ind w:left="709" w:hanging="283"/>
        <w:rPr/>
      </w:pPr>
      <w:r>
        <w:rPr/>
        <w:t xml:space="preserve">Quant aux serveurs contenant des données personnelles sensibles, ils sont revus mensuellement ou au minimum bimestriellement. </w:t>
      </w:r>
    </w:p>
    <w:p>
      <w:pPr>
        <w:pStyle w:val="TextBody"/>
        <w:rPr/>
      </w:pPr>
      <w:r>
        <w:rPr/>
        <w:t xml:space="preserve">Ces revues permettent de s'assurer que seules les personnes ayant effectivement besoin d'un accès le conservent. Le processus de revue est détaillé dans le </w:t>
      </w:r>
      <w:r>
        <w:rPr>
          <w:rStyle w:val="StrongEmphasis"/>
        </w:rPr>
        <w:t>DOC-OPS-02</w:t>
      </w:r>
      <w:r>
        <w:rPr/>
        <w:t>, section 8.4.</w:t>
      </w:r>
    </w:p>
    <w:p>
      <w:pPr>
        <w:pStyle w:val="Heading2"/>
        <w:ind w:left="0" w:hanging="0"/>
        <w:rPr/>
      </w:pPr>
      <w:bookmarkStart w:id="32" w:name="__RefHeading___Toc57964_2150708505"/>
      <w:bookmarkEnd w:id="32"/>
      <w:r>
        <w:rPr/>
        <w:t>Protection réseau</w:t>
      </w:r>
    </w:p>
    <w:p>
      <w:pPr>
        <w:pStyle w:val="Heading4"/>
        <w:spacing w:before="0" w:after="283"/>
        <w:ind w:left="0" w:hanging="0"/>
        <w:rPr>
          <w:rFonts w:ascii="Arial" w:hAnsi="Arial" w:eastAsia="Arial" w:cs="Arial"/>
          <w:b/>
          <w:b/>
          <w:bCs/>
          <w:i w:val="false"/>
          <w:i w:val="false"/>
          <w:iCs w:val="false"/>
          <w:color w:val="014276"/>
          <w:kern w:val="0"/>
          <w:sz w:val="22"/>
          <w:szCs w:val="22"/>
          <w:lang w:val="fr-FR" w:eastAsia="fr-FR" w:bidi="ar-SA"/>
        </w:rPr>
      </w:pPr>
      <w:bookmarkStart w:id="33" w:name="__RefHeading___Toc57966_2150708505"/>
      <w:bookmarkEnd w:id="33"/>
      <w:r>
        <w:rPr>
          <w:rFonts w:eastAsia="Arial" w:cs="Arial"/>
          <w:b/>
          <w:bCs/>
          <w:i w:val="false"/>
          <w:iCs w:val="false"/>
          <w:color w:val="014276"/>
          <w:kern w:val="0"/>
          <w:sz w:val="22"/>
          <w:szCs w:val="22"/>
          <w:lang w:val="fr-FR" w:eastAsia="fr-FR" w:bidi="ar-SA"/>
        </w:rPr>
        <w:t>Pare-feu</w:t>
      </w:r>
    </w:p>
    <w:p>
      <w:pPr>
        <w:pStyle w:val="TextBody"/>
        <w:rPr/>
      </w:pPr>
      <w:r>
        <w:rPr/>
        <w:t>Le pare-feu UFW est activé sur absolument tous nos serveurs, sans exception.</w:t>
      </w:r>
    </w:p>
    <w:p>
      <w:pPr>
        <w:pStyle w:val="TextBody"/>
        <w:numPr>
          <w:ilvl w:val="0"/>
          <w:numId w:val="20"/>
        </w:numPr>
        <w:tabs>
          <w:tab w:val="clear" w:pos="708"/>
          <w:tab w:val="left" w:pos="0" w:leader="none"/>
        </w:tabs>
        <w:ind w:left="709" w:hanging="283"/>
        <w:rPr/>
      </w:pPr>
      <w:r>
        <w:rPr/>
        <w:t>La configuration par défaut applique une politique de déni pour tout le trafic entrant non autorisé explicitement, tandis que le trafic sortant est autorisé par défaut pour permettre les mises à jour et la communication avec les services externes.</w:t>
      </w:r>
    </w:p>
    <w:p>
      <w:pPr>
        <w:pStyle w:val="TextBody"/>
        <w:numPr>
          <w:ilvl w:val="0"/>
          <w:numId w:val="20"/>
        </w:numPr>
        <w:tabs>
          <w:tab w:val="clear" w:pos="708"/>
          <w:tab w:val="left" w:pos="0" w:leader="none"/>
        </w:tabs>
        <w:ind w:left="709" w:hanging="283"/>
        <w:rPr/>
      </w:pPr>
      <w:r>
        <w:rPr/>
        <w:t>Seuls les ports strictement nécessaires au fonctionnement des services sont ouverts, après validation. Une règle absolue s'applique aux bases de données : elles ne doivent jamais être exposées publiquement sur Internet, l'accès devant toujours transiter par l'application ou un tunnel sécurisé.</w:t>
      </w:r>
    </w:p>
    <w:p>
      <w:pPr>
        <w:pStyle w:val="TextBody"/>
        <w:rPr/>
      </w:pPr>
      <w:r>
        <w:rPr/>
        <w:t xml:space="preserve">La configuration détaillée du pare-feu est documentée dans le </w:t>
      </w:r>
      <w:r>
        <w:rPr>
          <w:rStyle w:val="StrongEmphasis"/>
        </w:rPr>
        <w:t>DOC-REF-01</w:t>
      </w:r>
      <w:r>
        <w:rPr/>
        <w:t xml:space="preserve">, section </w:t>
      </w:r>
      <w:r>
        <w:rPr>
          <w:rStyle w:val="StrongEmphasis"/>
        </w:rPr>
        <w:t>REF-UFW</w:t>
      </w:r>
      <w:r>
        <w:rPr/>
        <w:t>.</w:t>
      </w:r>
    </w:p>
    <w:p>
      <w:pPr>
        <w:pStyle w:val="Heading4"/>
        <w:spacing w:before="0" w:after="283"/>
        <w:ind w:left="0" w:hanging="0"/>
        <w:rPr>
          <w:rFonts w:ascii="Arial" w:hAnsi="Arial" w:eastAsia="Arial" w:cs="Arial"/>
          <w:b/>
          <w:b/>
          <w:bCs/>
          <w:i w:val="false"/>
          <w:i w:val="false"/>
          <w:iCs w:val="false"/>
          <w:color w:val="014276"/>
          <w:kern w:val="0"/>
          <w:sz w:val="22"/>
          <w:szCs w:val="22"/>
          <w:lang w:val="fr-FR" w:eastAsia="fr-FR" w:bidi="ar-SA"/>
        </w:rPr>
      </w:pPr>
      <w:bookmarkStart w:id="34" w:name="__RefHeading___Toc57968_2150708505"/>
      <w:bookmarkEnd w:id="34"/>
      <w:r>
        <w:rPr>
          <w:rFonts w:eastAsia="Arial" w:cs="Arial"/>
          <w:b/>
          <w:bCs/>
          <w:i w:val="false"/>
          <w:iCs w:val="false"/>
          <w:color w:val="014276"/>
          <w:kern w:val="0"/>
          <w:sz w:val="22"/>
          <w:szCs w:val="22"/>
          <w:lang w:val="fr-FR" w:eastAsia="fr-FR" w:bidi="ar-SA"/>
        </w:rPr>
        <w:t>Protection anti-bruteforce</w:t>
      </w:r>
    </w:p>
    <w:p>
      <w:pPr>
        <w:pStyle w:val="TextBody"/>
        <w:rPr/>
      </w:pPr>
      <w:r>
        <w:rPr/>
        <w:t>Fail2Ban est actif sur tous nos serveurs pour protéger contre les tentatives d'intrusion par force brute.</w:t>
      </w:r>
    </w:p>
    <w:p>
      <w:pPr>
        <w:pStyle w:val="TextBody"/>
        <w:numPr>
          <w:ilvl w:val="0"/>
          <w:numId w:val="21"/>
        </w:numPr>
        <w:tabs>
          <w:tab w:val="clear" w:pos="708"/>
          <w:tab w:val="left" w:pos="0" w:leader="none"/>
        </w:tabs>
        <w:ind w:left="709" w:hanging="283"/>
        <w:rPr/>
      </w:pPr>
      <w:r>
        <w:rPr/>
        <w:t>Après trois tentatives d'authentification échouées, l'adresse IP de l'attaquant est automatiquement bannie pour une durée minimale d'une heure.</w:t>
      </w:r>
    </w:p>
    <w:p>
      <w:pPr>
        <w:pStyle w:val="TextBody"/>
        <w:numPr>
          <w:ilvl w:val="0"/>
          <w:numId w:val="21"/>
        </w:numPr>
        <w:tabs>
          <w:tab w:val="clear" w:pos="708"/>
          <w:tab w:val="left" w:pos="0" w:leader="none"/>
        </w:tabs>
        <w:ind w:left="709" w:hanging="283"/>
        <w:rPr/>
      </w:pPr>
      <w:r>
        <w:rPr/>
        <w:t>Les logs de Fail2Ban sont surveillés régulièrement pour identifier les patterns d'attaque et adapter la protection si nécessaire.</w:t>
      </w:r>
    </w:p>
    <w:p>
      <w:pPr>
        <w:pStyle w:val="TextBody"/>
        <w:rPr/>
      </w:pPr>
      <w:r>
        <w:rPr/>
        <w:t xml:space="preserve">Cette configuration est détaillée dans le </w:t>
      </w:r>
      <w:r>
        <w:rPr>
          <w:rStyle w:val="StrongEmphasis"/>
        </w:rPr>
        <w:t>DOC-REF-01</w:t>
      </w:r>
      <w:r>
        <w:rPr/>
        <w:t xml:space="preserve">, section </w:t>
      </w:r>
      <w:r>
        <w:rPr>
          <w:rStyle w:val="StrongEmphasis"/>
        </w:rPr>
        <w:t>REF-FAIL2BAN</w:t>
      </w:r>
      <w:r>
        <w:rPr/>
        <w:t>.</w:t>
      </w:r>
    </w:p>
    <w:p>
      <w:pPr>
        <w:pStyle w:val="Heading2"/>
        <w:ind w:left="0" w:hanging="0"/>
        <w:rPr/>
      </w:pPr>
      <w:bookmarkStart w:id="35" w:name="__RefHeading___Toc57970_2150708505"/>
      <w:bookmarkEnd w:id="35"/>
      <w:r>
        <w:rPr/>
        <w:t>Mises à jour et correctifs</w:t>
      </w:r>
    </w:p>
    <w:p>
      <w:pPr>
        <w:pStyle w:val="TextBody"/>
        <w:rPr/>
      </w:pPr>
      <w:r>
        <w:rPr/>
        <w:t>Les mises à jour de sécurité sont appliquées automatiquement et quotidiennement sur tous nos serveurs pour garantir une protection continue contre les vulnérabilités connues.</w:t>
      </w:r>
    </w:p>
    <w:p>
      <w:pPr>
        <w:pStyle w:val="TextBody"/>
        <w:numPr>
          <w:ilvl w:val="0"/>
          <w:numId w:val="22"/>
        </w:numPr>
        <w:tabs>
          <w:tab w:val="clear" w:pos="708"/>
          <w:tab w:val="left" w:pos="0" w:leader="none"/>
        </w:tabs>
        <w:ind w:left="709" w:hanging="283"/>
        <w:rPr/>
      </w:pPr>
      <w:r>
        <w:rPr/>
        <w:t>Pour les correctifs critiques, ceux concernant des vulnérabilités CVE avec un score supérieur ou égal à 7.0, nous nous engageons à les appliquer dans un délai maximum de 48 heures suivant leur publication.</w:t>
      </w:r>
    </w:p>
    <w:p>
      <w:pPr>
        <w:pStyle w:val="TextBody"/>
        <w:numPr>
          <w:ilvl w:val="0"/>
          <w:numId w:val="22"/>
        </w:numPr>
        <w:tabs>
          <w:tab w:val="clear" w:pos="708"/>
          <w:tab w:val="left" w:pos="0" w:leader="none"/>
        </w:tabs>
        <w:ind w:left="709" w:hanging="283"/>
        <w:rPr/>
      </w:pPr>
      <w:r>
        <w:rPr/>
        <w:t>Les mises à jour fonctionnelles, qui peuvent potentiellement affecter le comportement des applications, sont d'abord testées en environnement de préproduction avant d'être déployées mensuellement en production.</w:t>
      </w:r>
    </w:p>
    <w:p>
      <w:pPr>
        <w:pStyle w:val="TextBody"/>
        <w:numPr>
          <w:ilvl w:val="0"/>
          <w:numId w:val="22"/>
        </w:numPr>
        <w:tabs>
          <w:tab w:val="clear" w:pos="708"/>
          <w:tab w:val="left" w:pos="0" w:leader="none"/>
        </w:tabs>
        <w:ind w:left="709" w:hanging="283"/>
        <w:rPr/>
      </w:pPr>
      <w:r>
        <w:rPr/>
        <w:t>Les redémarrages nécessaires sont planifiés dans des fenêtres de maintenance définies et communiquées à l'avance.</w:t>
      </w:r>
    </w:p>
    <w:p>
      <w:pPr>
        <w:pStyle w:val="TextBody"/>
        <w:rPr/>
      </w:pPr>
      <w:r>
        <w:rPr/>
        <w:t xml:space="preserve">Cette stratégie est documentée dans le </w:t>
      </w:r>
      <w:r>
        <w:rPr>
          <w:rStyle w:val="StrongEmphasis"/>
        </w:rPr>
        <w:t>DOC-REF-01</w:t>
      </w:r>
      <w:r>
        <w:rPr/>
        <w:t xml:space="preserve">, section </w:t>
      </w:r>
      <w:r>
        <w:rPr>
          <w:rStyle w:val="StrongEmphasis"/>
        </w:rPr>
        <w:t>REF-MAJ</w:t>
      </w:r>
      <w:r>
        <w:rPr/>
        <w:t>.</w:t>
      </w:r>
    </w:p>
    <w:p>
      <w:pPr>
        <w:pStyle w:val="Heading2"/>
        <w:ind w:left="0" w:hanging="0"/>
        <w:rPr/>
      </w:pPr>
      <w:bookmarkStart w:id="36" w:name="__RefHeading___Toc57972_2150708505"/>
      <w:bookmarkEnd w:id="36"/>
      <w:r>
        <w:rPr/>
        <w:t>Logs et traçabilité</w:t>
      </w:r>
    </w:p>
    <w:p>
      <w:pPr>
        <w:pStyle w:val="TextBody"/>
        <w:rPr/>
      </w:pPr>
      <w:r>
        <w:rPr/>
        <w:t>Conformément aux exigences de l'APDP, nous conservons tous les logs pendant au minimum 90 jours.</w:t>
      </w:r>
    </w:p>
    <w:p>
      <w:pPr>
        <w:pStyle w:val="TextBody"/>
        <w:numPr>
          <w:ilvl w:val="0"/>
          <w:numId w:val="23"/>
        </w:numPr>
        <w:tabs>
          <w:tab w:val="clear" w:pos="708"/>
          <w:tab w:val="left" w:pos="0" w:leader="none"/>
        </w:tabs>
        <w:ind w:left="709" w:hanging="283"/>
        <w:rPr/>
      </w:pPr>
      <w:r>
        <w:rPr/>
        <w:t>Les logs d'authentification, particulièrement critiques pour la sécurité, sont conservés pendant 180 jours.</w:t>
      </w:r>
    </w:p>
    <w:p>
      <w:pPr>
        <w:pStyle w:val="TextBody"/>
        <w:numPr>
          <w:ilvl w:val="0"/>
          <w:numId w:val="23"/>
        </w:numPr>
        <w:tabs>
          <w:tab w:val="clear" w:pos="708"/>
          <w:tab w:val="left" w:pos="0" w:leader="none"/>
        </w:tabs>
        <w:ind w:left="709" w:hanging="283"/>
        <w:rPr/>
      </w:pPr>
      <w:r>
        <w:rPr/>
        <w:t>La rotation automatique des logs est configurée via logrotate pour éviter la saturation des disques tout en maintenant l'historique requis.</w:t>
      </w:r>
    </w:p>
    <w:p>
      <w:pPr>
        <w:pStyle w:val="TextBody"/>
        <w:numPr>
          <w:ilvl w:val="0"/>
          <w:numId w:val="23"/>
        </w:numPr>
        <w:tabs>
          <w:tab w:val="clear" w:pos="708"/>
          <w:tab w:val="left" w:pos="0" w:leader="none"/>
        </w:tabs>
        <w:ind w:left="709" w:hanging="283"/>
        <w:rPr/>
      </w:pPr>
      <w:r>
        <w:rPr/>
        <w:t>Les fichiers de logs sont protégés par des permissions appropriées (640) et leur accès est restreint aux seuls administrateurs autorisés.</w:t>
      </w:r>
    </w:p>
    <w:p>
      <w:pPr>
        <w:pStyle w:val="TextBody"/>
        <w:numPr>
          <w:ilvl w:val="0"/>
          <w:numId w:val="23"/>
        </w:numPr>
        <w:tabs>
          <w:tab w:val="clear" w:pos="708"/>
          <w:tab w:val="left" w:pos="0" w:leader="none"/>
        </w:tabs>
        <w:ind w:left="709" w:hanging="283"/>
        <w:rPr/>
      </w:pPr>
      <w:r>
        <w:rPr/>
        <w:t>Une surveillance régulière des logs est effectuée pour détecter les tentatives d'intrusion, les comportements anormaux ou toute autre anomalie.</w:t>
      </w:r>
    </w:p>
    <w:p>
      <w:pPr>
        <w:pStyle w:val="TextBody"/>
        <w:rPr/>
      </w:pPr>
      <w:r>
        <w:rPr/>
        <w:t xml:space="preserve">Ces exigences sont détaillées dans le </w:t>
      </w:r>
      <w:r>
        <w:rPr>
          <w:rStyle w:val="StrongEmphasis"/>
        </w:rPr>
        <w:t>DOC-REF-01</w:t>
      </w:r>
      <w:r>
        <w:rPr/>
        <w:t xml:space="preserve">, section </w:t>
      </w:r>
      <w:r>
        <w:rPr>
          <w:rStyle w:val="StrongEmphasis"/>
        </w:rPr>
        <w:t>REF-LOGS</w:t>
      </w:r>
      <w:r>
        <w:rPr/>
        <w:t>.</w:t>
      </w:r>
    </w:p>
    <w:p>
      <w:pPr>
        <w:pStyle w:val="Heading2"/>
        <w:ind w:left="0" w:hanging="0"/>
        <w:rPr/>
      </w:pPr>
      <w:bookmarkStart w:id="37" w:name="__RefHeading___Toc57974_2150708505"/>
      <w:bookmarkEnd w:id="37"/>
      <w:r>
        <w:rPr/>
        <w:t>Conformité APDP</w:t>
      </w:r>
    </w:p>
    <w:p>
      <w:pPr>
        <w:pStyle w:val="Heading4"/>
        <w:spacing w:before="0" w:after="283"/>
        <w:ind w:left="0" w:hanging="0"/>
        <w:rPr>
          <w:rFonts w:ascii="Arial" w:hAnsi="Arial" w:eastAsia="Arial" w:cs="Arial"/>
          <w:b/>
          <w:b/>
          <w:bCs/>
          <w:i w:val="false"/>
          <w:i w:val="false"/>
          <w:iCs w:val="false"/>
          <w:color w:val="014276"/>
          <w:kern w:val="0"/>
          <w:sz w:val="22"/>
          <w:szCs w:val="22"/>
          <w:lang w:val="fr-FR" w:eastAsia="fr-FR" w:bidi="ar-SA"/>
        </w:rPr>
      </w:pPr>
      <w:bookmarkStart w:id="38" w:name="__RefHeading___Toc57976_2150708505"/>
      <w:bookmarkEnd w:id="38"/>
      <w:r>
        <w:rPr>
          <w:rFonts w:eastAsia="Arial" w:cs="Arial"/>
          <w:b/>
          <w:bCs/>
          <w:i w:val="false"/>
          <w:iCs w:val="false"/>
          <w:color w:val="014276"/>
          <w:kern w:val="0"/>
          <w:sz w:val="22"/>
          <w:szCs w:val="22"/>
          <w:lang w:val="fr-FR" w:eastAsia="fr-FR" w:bidi="ar-SA"/>
        </w:rPr>
        <w:t>Identification des serveurs</w:t>
      </w:r>
    </w:p>
    <w:p>
      <w:pPr>
        <w:pStyle w:val="TextBody"/>
        <w:rPr/>
      </w:pPr>
      <w:r>
        <w:rPr/>
        <w:t>Tous nos serveurs doivent être classifiés selon qu'ils hébergent ou non des données personnelles.</w:t>
      </w:r>
    </w:p>
    <w:p>
      <w:pPr>
        <w:pStyle w:val="TextBody"/>
        <w:rPr/>
      </w:pPr>
      <w:r>
        <w:rPr/>
        <w:t xml:space="preserve">Cette classification est obligatoire et documentée dans le </w:t>
      </w:r>
      <w:r>
        <w:rPr>
          <w:rStyle w:val="StrongEmphasis"/>
        </w:rPr>
        <w:t>DOC-OPS-01</w:t>
      </w:r>
      <w:r>
        <w:rPr/>
        <w:t>, notre registre des serveurs.</w:t>
      </w:r>
    </w:p>
    <w:p>
      <w:pPr>
        <w:pStyle w:val="TextBody"/>
        <w:rPr/>
      </w:pPr>
      <w:r>
        <w:rPr/>
        <w:t>Chaque serveur contenant des données personnelles doit être lié au registre des traitements APDP correspondant, garantissant ainsi la traçabilité complète de nos traitements de données.</w:t>
      </w:r>
    </w:p>
    <w:p>
      <w:pPr>
        <w:pStyle w:val="Heading4"/>
        <w:spacing w:before="0" w:after="283"/>
        <w:ind w:left="0" w:hanging="0"/>
        <w:rPr/>
      </w:pPr>
      <w:bookmarkStart w:id="39" w:name="__RefHeading___Toc57978_2150708505"/>
      <w:bookmarkEnd w:id="39"/>
      <w:r>
        <w:rPr>
          <w:rFonts w:eastAsia="Arial" w:cs="Arial"/>
          <w:b/>
          <w:bCs/>
          <w:i w:val="false"/>
          <w:iCs w:val="false"/>
          <w:color w:val="014276"/>
          <w:kern w:val="0"/>
          <w:sz w:val="22"/>
          <w:szCs w:val="22"/>
          <w:lang w:val="fr-FR" w:eastAsia="fr-FR" w:bidi="ar-SA"/>
        </w:rPr>
        <w:t>Mesures techniques selon classification</w:t>
      </w:r>
    </w:p>
    <w:p>
      <w:pPr>
        <w:pStyle w:val="TextBody"/>
        <w:rPr/>
      </w:pPr>
      <w:r>
        <w:rPr/>
        <w:t>Les mesures de protection varient selon la nature des données hébergées.</w:t>
      </w:r>
    </w:p>
    <w:p>
      <w:pPr>
        <w:pStyle w:val="TextBody"/>
        <w:numPr>
          <w:ilvl w:val="0"/>
          <w:numId w:val="24"/>
        </w:numPr>
        <w:tabs>
          <w:tab w:val="clear" w:pos="708"/>
          <w:tab w:val="left" w:pos="0" w:leader="none"/>
        </w:tabs>
        <w:ind w:left="709" w:hanging="283"/>
        <w:rPr/>
      </w:pPr>
      <w:r>
        <w:rPr/>
        <w:t>Pour les serveurs contenant des données personnelles standard, telles que des noms ou adresses email, le chiffrement HTTPS est obligatoire pour toutes les communications.</w:t>
      </w:r>
    </w:p>
    <w:p>
      <w:pPr>
        <w:pStyle w:val="TextBody"/>
        <w:numPr>
          <w:ilvl w:val="0"/>
          <w:numId w:val="24"/>
        </w:numPr>
        <w:tabs>
          <w:tab w:val="clear" w:pos="708"/>
          <w:tab w:val="left" w:pos="0" w:leader="none"/>
        </w:tabs>
        <w:ind w:left="709" w:hanging="283"/>
        <w:rPr/>
      </w:pPr>
      <w:r>
        <w:rPr/>
        <w:t>L'accès est limité à un maximum de 5 personnes identifiées et justifiées. Les logs sont conservés pendant au minimum 90 jours, et les sauvegardes quotidiennes doivent être chiffrées.</w:t>
      </w:r>
    </w:p>
    <w:p>
      <w:pPr>
        <w:pStyle w:val="TextBody"/>
        <w:numPr>
          <w:ilvl w:val="0"/>
          <w:numId w:val="24"/>
        </w:numPr>
        <w:tabs>
          <w:tab w:val="clear" w:pos="708"/>
          <w:tab w:val="left" w:pos="0" w:leader="none"/>
        </w:tabs>
        <w:ind w:left="709" w:hanging="283"/>
        <w:rPr/>
      </w:pPr>
      <w:r>
        <w:rPr/>
        <w:t>Pour les données personnelles sensibles, concernant notamment la santé, l'origine ethnique ou les opinions politiques, des mesures renforcées s'appliquent.</w:t>
      </w:r>
    </w:p>
    <w:p>
      <w:pPr>
        <w:pStyle w:val="TextBody"/>
        <w:numPr>
          <w:ilvl w:val="0"/>
          <w:numId w:val="24"/>
        </w:numPr>
        <w:tabs>
          <w:tab w:val="clear" w:pos="708"/>
          <w:tab w:val="left" w:pos="0" w:leader="none"/>
        </w:tabs>
        <w:ind w:left="709" w:hanging="283"/>
        <w:rPr/>
      </w:pPr>
      <w:r>
        <w:rPr/>
        <w:t>Le chiffrement du disque entier avec LUKS est obligatoire.</w:t>
      </w:r>
    </w:p>
    <w:p>
      <w:pPr>
        <w:pStyle w:val="TextBody"/>
        <w:numPr>
          <w:ilvl w:val="0"/>
          <w:numId w:val="24"/>
        </w:numPr>
        <w:tabs>
          <w:tab w:val="clear" w:pos="708"/>
          <w:tab w:val="left" w:pos="0" w:leader="none"/>
        </w:tabs>
        <w:ind w:left="709" w:hanging="283"/>
        <w:rPr/>
      </w:pPr>
      <w:r>
        <w:rPr/>
        <w:t>L'accès est limité de manière très stricte à 2 ou 3 personnes maximum.</w:t>
      </w:r>
    </w:p>
    <w:p>
      <w:pPr>
        <w:pStyle w:val="TextBody"/>
        <w:numPr>
          <w:ilvl w:val="0"/>
          <w:numId w:val="24"/>
        </w:numPr>
        <w:tabs>
          <w:tab w:val="clear" w:pos="708"/>
          <w:tab w:val="left" w:pos="0" w:leader="none"/>
        </w:tabs>
        <w:ind w:left="709" w:hanging="283"/>
        <w:rPr/>
      </w:pPr>
      <w:r>
        <w:rPr/>
        <w:t>Les logs sont conservés pendant 180 jours minimum.</w:t>
      </w:r>
    </w:p>
    <w:p>
      <w:pPr>
        <w:pStyle w:val="TextBody"/>
        <w:numPr>
          <w:ilvl w:val="0"/>
          <w:numId w:val="24"/>
        </w:numPr>
        <w:tabs>
          <w:tab w:val="clear" w:pos="708"/>
          <w:tab w:val="left" w:pos="0" w:leader="none"/>
        </w:tabs>
        <w:ind w:left="709" w:hanging="283"/>
        <w:rPr/>
      </w:pPr>
      <w:r>
        <w:rPr/>
        <w:t>Les sauvegardes quotidiennes utilisent un chiffrement AES-256, et une Analyse d'Impact relative à la Protection des Données (AIPD) est obligatoire avant la mise en service.</w:t>
      </w:r>
    </w:p>
    <w:p>
      <w:pPr>
        <w:pStyle w:val="TextBody"/>
        <w:rPr/>
      </w:pPr>
      <w:r>
        <w:rPr/>
        <w:t xml:space="preserve">Ces mesures techniques sont détaillées dans le </w:t>
      </w:r>
      <w:r>
        <w:rPr>
          <w:rStyle w:val="StrongEmphasis"/>
        </w:rPr>
        <w:t>DOC-REF-03</w:t>
      </w:r>
      <w:r>
        <w:rPr/>
        <w:t>, notre référentiel APDP.</w:t>
      </w:r>
    </w:p>
    <w:p>
      <w:pPr>
        <w:pStyle w:val="Heading4"/>
        <w:spacing w:before="0" w:after="283"/>
        <w:ind w:left="0" w:hanging="0"/>
        <w:rPr/>
      </w:pPr>
      <w:bookmarkStart w:id="40" w:name="__RefHeading___Toc57980_2150708505"/>
      <w:bookmarkEnd w:id="40"/>
      <w:r>
        <w:rPr>
          <w:rFonts w:eastAsia="Arial" w:cs="Arial"/>
          <w:b/>
          <w:bCs/>
          <w:i w:val="false"/>
          <w:iCs w:val="false"/>
          <w:color w:val="014276"/>
          <w:kern w:val="0"/>
          <w:sz w:val="22"/>
          <w:szCs w:val="22"/>
          <w:lang w:val="fr-FR" w:eastAsia="fr-FR" w:bidi="ar-SA"/>
        </w:rPr>
        <w:t>Notification violations</w:t>
      </w:r>
    </w:p>
    <w:p>
      <w:pPr>
        <w:pStyle w:val="TextBody"/>
        <w:rPr/>
      </w:pPr>
      <w:r>
        <w:rPr/>
        <w:t>En cas de violation de données personnelles, la notification à l'APDP dans un délai de 72 heures est une obligation légale absolue.</w:t>
      </w:r>
    </w:p>
    <w:p>
      <w:pPr>
        <w:pStyle w:val="TextBody"/>
        <w:rPr/>
      </w:pPr>
      <w:r>
        <w:rPr/>
        <w:t>Nous disposons d'une procédure formalisée et testée régulièrement pour garantir le respect de ce délai.</w:t>
      </w:r>
    </w:p>
    <w:p>
      <w:pPr>
        <w:pStyle w:val="TextBody"/>
        <w:rPr/>
      </w:pPr>
      <w:r>
        <w:rPr/>
        <w:t>Un registre des violations est tenu à jour pour documenter tout incident affectant des données personnelles.</w:t>
      </w:r>
    </w:p>
    <w:p>
      <w:pPr>
        <w:pStyle w:val="TextBody"/>
        <w:rPr/>
      </w:pPr>
      <w:r>
        <w:rPr/>
        <w:t xml:space="preserve">La procédure complète est documentée dans </w:t>
      </w:r>
      <w:r>
        <w:rPr>
          <w:rStyle w:val="StrongEmphasis"/>
        </w:rPr>
        <w:t>PROC-03</w:t>
      </w:r>
      <w:r>
        <w:rPr/>
        <w:t>.</w:t>
      </w:r>
    </w:p>
    <w:p>
      <w:pPr>
        <w:pStyle w:val="Heading2"/>
        <w:ind w:left="0" w:hanging="0"/>
        <w:rPr/>
      </w:pPr>
      <w:bookmarkStart w:id="41" w:name="__RefHeading___Toc57982_2150708505"/>
      <w:bookmarkEnd w:id="41"/>
      <w:r>
        <w:rPr/>
        <w:t>Destruction sécurisée</w:t>
      </w:r>
    </w:p>
    <w:p>
      <w:pPr>
        <w:pStyle w:val="TextBody"/>
        <w:rPr/>
      </w:pPr>
      <w:r>
        <w:rPr/>
        <w:t>Lors du décommissionnement d'un serveur, l'effacement sécurisé des données est obligatoire.</w:t>
      </w:r>
    </w:p>
    <w:p>
      <w:pPr>
        <w:pStyle w:val="TextBody"/>
        <w:numPr>
          <w:ilvl w:val="0"/>
          <w:numId w:val="25"/>
        </w:numPr>
        <w:tabs>
          <w:tab w:val="clear" w:pos="708"/>
          <w:tab w:val="left" w:pos="0" w:leader="none"/>
        </w:tabs>
        <w:ind w:left="709" w:hanging="283"/>
        <w:rPr/>
      </w:pPr>
      <w:r>
        <w:rPr/>
        <w:t>Une simple suppression de fichiers est insuffisante car les données restent techniquement récupérables. Nous utilisons l'outil "shred" pour l'effacement sécurisé.</w:t>
      </w:r>
    </w:p>
    <w:p>
      <w:pPr>
        <w:pStyle w:val="TextBody"/>
        <w:numPr>
          <w:ilvl w:val="0"/>
          <w:numId w:val="25"/>
        </w:numPr>
        <w:tabs>
          <w:tab w:val="clear" w:pos="708"/>
          <w:tab w:val="left" w:pos="0" w:leader="none"/>
        </w:tabs>
        <w:ind w:left="709" w:hanging="283"/>
        <w:rPr/>
      </w:pPr>
      <w:r>
        <w:rPr/>
        <w:t>Si le serveur contenait des données personnelles, un minimum de 3 passes d'effacement est requis, et 7 passes pour les données sensibles. Tous les snapshots et sauvegardes doivent également être supprimés, sauf exigence légale d'archivage spécifique. Pour les serveurs ayant contenu des données personnelles, un certificat de destruction est émis pour documenter la conformité APDP.</w:t>
      </w:r>
    </w:p>
    <w:p>
      <w:pPr>
        <w:pStyle w:val="TextBody"/>
        <w:rPr/>
      </w:pPr>
      <w:r>
        <w:rPr/>
        <w:t>La procédure détaillée de décommissionnement sécurisé sera formalisée dans le document 2.5.</w:t>
      </w:r>
    </w:p>
    <w:p>
      <w:pPr>
        <w:pStyle w:val="Heading1"/>
        <w:ind w:left="0" w:hanging="0"/>
        <w:rPr/>
      </w:pPr>
      <w:bookmarkStart w:id="42" w:name="__RefHeading___Toc57984_2150708505"/>
      <w:bookmarkEnd w:id="42"/>
      <w:r>
        <w:rPr/>
        <w:t>CONFORMITÉ ET AUDIT</w:t>
      </w:r>
    </w:p>
    <w:p>
      <w:pPr>
        <w:pStyle w:val="Heading2"/>
        <w:ind w:left="0" w:hanging="0"/>
        <w:rPr/>
      </w:pPr>
      <w:bookmarkStart w:id="43" w:name="__RefHeading___Toc57986_2150708505"/>
      <w:bookmarkEnd w:id="43"/>
      <w:r>
        <w:rPr/>
        <w:t>Conformité réglementaire</w:t>
      </w:r>
    </w:p>
    <w:p>
      <w:pPr>
        <w:pStyle w:val="TextBody"/>
        <w:rPr/>
      </w:pPr>
      <w:r>
        <w:rPr/>
        <w:t>Notre politique de sécurité garantit le respect de la Loi n°2017-20 du 20 avril 2018, constituant le Code du Numérique de la République du Bénin. Cette loi nous impose plusieurs obligations que nous respectons scrupuleusement.</w:t>
      </w:r>
    </w:p>
    <w:p>
      <w:pPr>
        <w:pStyle w:val="TextBody"/>
        <w:numPr>
          <w:ilvl w:val="0"/>
          <w:numId w:val="26"/>
        </w:numPr>
        <w:tabs>
          <w:tab w:val="clear" w:pos="708"/>
          <w:tab w:val="left" w:pos="0" w:leader="none"/>
        </w:tabs>
        <w:ind w:left="709" w:hanging="283"/>
        <w:rPr/>
      </w:pPr>
      <w:r>
        <w:rPr/>
        <w:t>Nous respectons toutes les obligations édictées par l'APDP en matière de protection des données personnelles. En cas de violation de données, nous notifions l'autorité dans un délai inférieur à 72 heures. Notre registre des traitements est maintenu à jour en permanence et disponible pour tout contrôle.</w:t>
      </w:r>
    </w:p>
    <w:p>
      <w:pPr>
        <w:pStyle w:val="TextBody"/>
        <w:numPr>
          <w:ilvl w:val="0"/>
          <w:numId w:val="26"/>
        </w:numPr>
        <w:tabs>
          <w:tab w:val="clear" w:pos="708"/>
          <w:tab w:val="left" w:pos="0" w:leader="none"/>
        </w:tabs>
        <w:ind w:left="709" w:hanging="283"/>
        <w:rPr/>
      </w:pPr>
      <w:r>
        <w:rPr/>
        <w:t>Nous mettons en œuvre des mesures de sécurité proportionnées au risque pour chaque traitement de données. La traçabilité complète de toutes les opérations sur les données personnelles est assurée par notre système de logs.</w:t>
      </w:r>
    </w:p>
    <w:p>
      <w:pPr>
        <w:pStyle w:val="TextBody"/>
        <w:rPr/>
      </w:pPr>
      <w:r>
        <w:rPr/>
        <w:t xml:space="preserve">L'autorité de contrôle compétente est l'APDP (Autorité de Protection des Données à caractère Personnel du Bénin), joignable à l'adresse </w:t>
      </w:r>
      <w:hyperlink r:id="rId2" w:tgtFrame="_blank">
        <w:r>
          <w:rPr>
            <w:rStyle w:val="InternetLink"/>
          </w:rPr>
          <w:t>contact@apdp.bj</w:t>
        </w:r>
      </w:hyperlink>
      <w:r>
        <w:rPr/>
        <w:t xml:space="preserve"> et via son site web </w:t>
      </w:r>
      <w:hyperlink r:id="rId3" w:tgtFrame="_blank">
        <w:r>
          <w:rPr>
            <w:rStyle w:val="InternetLink"/>
          </w:rPr>
          <w:t>https://apdp.bj</w:t>
        </w:r>
      </w:hyperlink>
      <w:r>
        <w:rPr/>
        <w:t>.</w:t>
      </w:r>
    </w:p>
    <w:p>
      <w:pPr>
        <w:pStyle w:val="Heading2"/>
        <w:ind w:left="0" w:hanging="0"/>
        <w:rPr/>
      </w:pPr>
      <w:bookmarkStart w:id="44" w:name="__RefHeading___Toc57988_2150708505"/>
      <w:bookmarkEnd w:id="44"/>
      <w:r>
        <w:rPr/>
        <w:t>Audits internes</w:t>
      </w:r>
    </w:p>
    <w:p>
      <w:pPr>
        <w:pStyle w:val="TextBody"/>
        <w:rPr/>
      </w:pPr>
      <w:r>
        <w:rPr/>
        <w:t>Nous effectuons plusieurs types d'audits internes selon des fréquences définies.</w:t>
      </w:r>
    </w:p>
    <w:p>
      <w:pPr>
        <w:pStyle w:val="TextBody"/>
        <w:numPr>
          <w:ilvl w:val="0"/>
          <w:numId w:val="27"/>
        </w:numPr>
        <w:tabs>
          <w:tab w:val="clear" w:pos="708"/>
          <w:tab w:val="left" w:pos="0" w:leader="none"/>
        </w:tabs>
        <w:ind w:left="709" w:hanging="283"/>
        <w:rPr/>
      </w:pPr>
      <w:r>
        <w:rPr/>
        <w:t xml:space="preserve">Un audit technique trimestriel vérifie la conformité de tous les serveurs à la baseline de sécurité, en utilisant le script automatisé fourni en Annexe D du </w:t>
      </w:r>
      <w:r>
        <w:rPr>
          <w:rStyle w:val="StrongEmphasis"/>
        </w:rPr>
        <w:t>DOC-REF-01</w:t>
      </w:r>
      <w:r>
        <w:rPr/>
        <w:t>.</w:t>
      </w:r>
    </w:p>
    <w:p>
      <w:pPr>
        <w:pStyle w:val="TextBody"/>
        <w:numPr>
          <w:ilvl w:val="0"/>
          <w:numId w:val="27"/>
        </w:numPr>
        <w:tabs>
          <w:tab w:val="clear" w:pos="708"/>
          <w:tab w:val="left" w:pos="0" w:leader="none"/>
        </w:tabs>
        <w:ind w:left="709" w:hanging="283"/>
        <w:rPr/>
      </w:pPr>
      <w:r>
        <w:rPr/>
        <w:t xml:space="preserve">Une revue des accès est effectuée semestriellement pour valider que la matrice des accès documentée dans le </w:t>
      </w:r>
      <w:r>
        <w:rPr>
          <w:rStyle w:val="StrongEmphasis"/>
        </w:rPr>
        <w:t>DOC-OPS-02</w:t>
      </w:r>
      <w:r>
        <w:rPr/>
        <w:t xml:space="preserve"> correspond à la réalité et aux besoins actuels. Pour les serveurs hébergeant des données personnelles, un audit APDP spécifique est réalisé trimestriellement.</w:t>
      </w:r>
    </w:p>
    <w:p>
      <w:pPr>
        <w:pStyle w:val="TextBody"/>
        <w:numPr>
          <w:ilvl w:val="0"/>
          <w:numId w:val="27"/>
        </w:numPr>
        <w:tabs>
          <w:tab w:val="clear" w:pos="708"/>
          <w:tab w:val="left" w:pos="0" w:leader="none"/>
        </w:tabs>
        <w:ind w:left="709" w:hanging="283"/>
        <w:rPr/>
      </w:pPr>
      <w:r>
        <w:rPr/>
        <w:t>Un audit complet couvrant tous les aspects de la sécurité est effectué annuellement. Tous ces audits sont sous la responsabilité du Responsable Services Internes.</w:t>
      </w:r>
    </w:p>
    <w:p>
      <w:pPr>
        <w:pStyle w:val="Heading2"/>
        <w:ind w:left="0" w:hanging="0"/>
        <w:rPr/>
      </w:pPr>
      <w:bookmarkStart w:id="45" w:name="__RefHeading___Toc57990_2150708505"/>
      <w:bookmarkEnd w:id="45"/>
      <w:r>
        <w:rPr/>
        <w:t>Audits externes</w:t>
      </w:r>
    </w:p>
    <w:p>
      <w:pPr>
        <w:pStyle w:val="TextBody"/>
        <w:rPr/>
      </w:pPr>
      <w:r>
        <w:rPr/>
        <w:t>Selon nos besoins et obligations, nous pouvons être soumis à différents types d'audits externes.</w:t>
      </w:r>
    </w:p>
    <w:p>
      <w:pPr>
        <w:pStyle w:val="TextBody"/>
        <w:numPr>
          <w:ilvl w:val="0"/>
          <w:numId w:val="28"/>
        </w:numPr>
        <w:tabs>
          <w:tab w:val="clear" w:pos="708"/>
          <w:tab w:val="left" w:pos="0" w:leader="none"/>
        </w:tabs>
        <w:ind w:left="709" w:hanging="283"/>
        <w:rPr/>
      </w:pPr>
      <w:r>
        <w:rPr/>
        <w:t>Si nous recherchons une certification telle que l'ISO 27001, des audits de certification seront nécessaires. Certains clients peuvent exiger contractuellement la réalisation d'audits de sécurité.</w:t>
      </w:r>
    </w:p>
    <w:p>
      <w:pPr>
        <w:pStyle w:val="TextBody"/>
        <w:numPr>
          <w:ilvl w:val="0"/>
          <w:numId w:val="28"/>
        </w:numPr>
        <w:tabs>
          <w:tab w:val="clear" w:pos="708"/>
          <w:tab w:val="left" w:pos="0" w:leader="none"/>
        </w:tabs>
        <w:ind w:left="709" w:hanging="283"/>
        <w:rPr/>
      </w:pPr>
      <w:r>
        <w:rPr/>
        <w:t>L'APDP dispose du pouvoir de déclencher des contrôles pour vérifier notre conformité aux obligations légales.</w:t>
      </w:r>
    </w:p>
    <w:p>
      <w:pPr>
        <w:pStyle w:val="TextBody"/>
        <w:rPr>
          <w:b/>
          <w:b/>
          <w:bCs/>
          <w:color w:val="F07817"/>
        </w:rPr>
      </w:pPr>
      <w:r>
        <w:rPr>
          <w:b/>
          <w:bCs/>
          <w:color w:val="F07817"/>
        </w:rPr>
        <w:t>Nous nous engageons à coopérer pleinement avec tous les auditeurs légitimes.</w:t>
      </w:r>
    </w:p>
    <w:p>
      <w:pPr>
        <w:pStyle w:val="Heading2"/>
        <w:ind w:left="0" w:hanging="0"/>
        <w:rPr/>
      </w:pPr>
      <w:bookmarkStart w:id="46" w:name="__RefHeading___Toc57992_2150708505"/>
      <w:bookmarkEnd w:id="46"/>
      <w:r>
        <w:rPr/>
        <w:t>Non-conformités</w:t>
      </w:r>
    </w:p>
    <w:p>
      <w:pPr>
        <w:pStyle w:val="TextBody"/>
        <w:rPr/>
      </w:pPr>
      <w:r>
        <w:rPr/>
        <w:t>Lorsqu'une non-conformité est identifiée, que ce soit par un audit, un incident ou un signalement, nous suivons un processus rigoureux.</w:t>
      </w:r>
    </w:p>
    <w:p>
      <w:pPr>
        <w:pStyle w:val="TextBody"/>
        <w:numPr>
          <w:ilvl w:val="0"/>
          <w:numId w:val="29"/>
        </w:numPr>
        <w:tabs>
          <w:tab w:val="clear" w:pos="708"/>
          <w:tab w:val="left" w:pos="0" w:leader="none"/>
        </w:tabs>
        <w:ind w:left="709" w:hanging="283"/>
        <w:rPr/>
      </w:pPr>
      <w:r>
        <w:rPr/>
        <w:t>Nous commençons par identifier précisément la nature de la non-conformité.</w:t>
      </w:r>
    </w:p>
    <w:p>
      <w:pPr>
        <w:pStyle w:val="TextBody"/>
        <w:numPr>
          <w:ilvl w:val="0"/>
          <w:numId w:val="29"/>
        </w:numPr>
        <w:tabs>
          <w:tab w:val="clear" w:pos="708"/>
          <w:tab w:val="left" w:pos="0" w:leader="none"/>
        </w:tabs>
        <w:ind w:left="709" w:hanging="283"/>
        <w:rPr/>
      </w:pPr>
      <w:r>
        <w:rPr/>
        <w:t>Nous analysons ensuite la cause racine pour comprendre pourquoi elle s'est produite et éviter qu'elle ne se reproduise.</w:t>
      </w:r>
    </w:p>
    <w:p>
      <w:pPr>
        <w:pStyle w:val="TextBody"/>
        <w:numPr>
          <w:ilvl w:val="0"/>
          <w:numId w:val="29"/>
        </w:numPr>
        <w:tabs>
          <w:tab w:val="clear" w:pos="708"/>
          <w:tab w:val="left" w:pos="0" w:leader="none"/>
        </w:tabs>
        <w:ind w:left="709" w:hanging="283"/>
        <w:rPr/>
      </w:pPr>
      <w:r>
        <w:rPr/>
        <w:t>Un plan d'action correctif est établi avec des échéances claires pour chaque action.</w:t>
      </w:r>
    </w:p>
    <w:p>
      <w:pPr>
        <w:pStyle w:val="TextBody"/>
        <w:numPr>
          <w:ilvl w:val="0"/>
          <w:numId w:val="29"/>
        </w:numPr>
        <w:tabs>
          <w:tab w:val="clear" w:pos="708"/>
          <w:tab w:val="left" w:pos="0" w:leader="none"/>
        </w:tabs>
        <w:ind w:left="709" w:hanging="283"/>
        <w:rPr/>
      </w:pPr>
      <w:r>
        <w:rPr/>
        <w:t>La mise en œuvre est suivie et vérifiée pour s'assurer de son efficacité.</w:t>
      </w:r>
    </w:p>
    <w:p>
      <w:pPr>
        <w:pStyle w:val="TextBody"/>
        <w:numPr>
          <w:ilvl w:val="0"/>
          <w:numId w:val="29"/>
        </w:numPr>
        <w:tabs>
          <w:tab w:val="clear" w:pos="708"/>
          <w:tab w:val="left" w:pos="0" w:leader="none"/>
        </w:tabs>
        <w:ind w:left="709" w:hanging="283"/>
        <w:rPr/>
      </w:pPr>
      <w:r>
        <w:rPr/>
        <w:t>Enfin, tout le processus est documenté avant la clôture formelle de la non-conformité.</w:t>
      </w:r>
    </w:p>
    <w:p>
      <w:pPr>
        <w:pStyle w:val="TextBody"/>
        <w:rPr/>
      </w:pPr>
      <w:r>
        <w:rPr/>
        <w:t>Toute non-conformité critique, susceptible d'avoir un impact important sur la sécurité ou la conformité, est rapportée à la Direction Générale dans les 24 heures suivant sa découverte.</w:t>
      </w:r>
    </w:p>
    <w:p>
      <w:pPr>
        <w:pStyle w:val="Heading1"/>
        <w:ind w:left="0" w:hanging="0"/>
        <w:rPr/>
      </w:pPr>
      <w:bookmarkStart w:id="47" w:name="__RefHeading___Toc57994_2150708505"/>
      <w:bookmarkEnd w:id="47"/>
      <w:r>
        <w:rPr/>
        <w:t>GESTION DES INCIDENTS</w:t>
      </w:r>
    </w:p>
    <w:p>
      <w:pPr>
        <w:pStyle w:val="Heading2"/>
        <w:ind w:left="0" w:hanging="0"/>
        <w:rPr/>
      </w:pPr>
      <w:bookmarkStart w:id="48" w:name="__RefHeading___Toc57996_2150708505"/>
      <w:bookmarkEnd w:id="48"/>
      <w:r>
        <w:rPr/>
        <w:t>Classification des incidents</w:t>
      </w:r>
    </w:p>
    <w:p>
      <w:pPr>
        <w:pStyle w:val="TextBody"/>
        <w:rPr/>
      </w:pPr>
      <w:r>
        <w:rPr/>
        <w:t>Nous classifions les incidents de sécurité selon quatre niveaux de gravité, chacun déclenchant un délai de réponse approprié.</w:t>
      </w:r>
    </w:p>
    <w:p>
      <w:pPr>
        <w:pStyle w:val="TextBody"/>
        <w:numPr>
          <w:ilvl w:val="0"/>
          <w:numId w:val="30"/>
        </w:numPr>
        <w:tabs>
          <w:tab w:val="clear" w:pos="708"/>
          <w:tab w:val="left" w:pos="0" w:leader="none"/>
        </w:tabs>
        <w:ind w:left="709" w:hanging="283"/>
        <w:rPr/>
      </w:pPr>
      <w:r>
        <w:rPr/>
        <w:t>Les incidents de priorité P1, considérés comme critiques, incluent la compromission avérée d'un serveur, une violation de données personnelles ou une attaque par ransomware. Ces incidents requièrent une réponse immédiate dans les 30 minutes.</w:t>
      </w:r>
    </w:p>
    <w:p>
      <w:pPr>
        <w:pStyle w:val="TextBody"/>
        <w:numPr>
          <w:ilvl w:val="0"/>
          <w:numId w:val="30"/>
        </w:numPr>
        <w:tabs>
          <w:tab w:val="clear" w:pos="708"/>
          <w:tab w:val="left" w:pos="0" w:leader="none"/>
        </w:tabs>
        <w:ind w:left="709" w:hanging="283"/>
        <w:rPr/>
      </w:pPr>
      <w:r>
        <w:rPr/>
        <w:t>Les incidents P2, de gravité élevée, concernent les tentatives d'intrusion sophistiquées ou l'exploitation d'une vulnérabilité critique. Le délai de réponse est de 2 heures maximum.</w:t>
      </w:r>
    </w:p>
    <w:p>
      <w:pPr>
        <w:pStyle w:val="TextBody"/>
        <w:numPr>
          <w:ilvl w:val="0"/>
          <w:numId w:val="30"/>
        </w:numPr>
        <w:tabs>
          <w:tab w:val="clear" w:pos="708"/>
          <w:tab w:val="left" w:pos="0" w:leader="none"/>
        </w:tabs>
        <w:ind w:left="709" w:hanging="283"/>
        <w:rPr/>
      </w:pPr>
      <w:r>
        <w:rPr/>
        <w:t>Les incidents P3, de gravité moyenne, incluent les tentatives d'intrusion basiques bloquées par nos défenses ou la découverte d'une vulnérabilité non encore exploitée. Le délai de réponse est de 24 heures.</w:t>
      </w:r>
    </w:p>
    <w:p>
      <w:pPr>
        <w:pStyle w:val="TextBody"/>
        <w:numPr>
          <w:ilvl w:val="0"/>
          <w:numId w:val="30"/>
        </w:numPr>
        <w:tabs>
          <w:tab w:val="clear" w:pos="708"/>
          <w:tab w:val="left" w:pos="0" w:leader="none"/>
        </w:tabs>
        <w:ind w:left="709" w:hanging="283"/>
        <w:rPr/>
      </w:pPr>
      <w:r>
        <w:rPr/>
        <w:t xml:space="preserve">Enfin, les incidents P4, de gravité faible, tels que les scans de ports externes ou les fausses alertes, font l'objet d'une surveillance sans nécessiter d'action immédiate. Le processus complet est documenté dans </w:t>
      </w:r>
      <w:r>
        <w:rPr>
          <w:rStyle w:val="StrongEmphasis"/>
        </w:rPr>
        <w:t>PROC-02</w:t>
      </w:r>
      <w:r>
        <w:rPr/>
        <w:t>.</w:t>
      </w:r>
    </w:p>
    <w:p>
      <w:pPr>
        <w:pStyle w:val="Heading2"/>
        <w:ind w:left="0" w:hanging="0"/>
        <w:rPr/>
      </w:pPr>
      <w:bookmarkStart w:id="49" w:name="__RefHeading___Toc57998_2150708505"/>
      <w:bookmarkEnd w:id="49"/>
      <w:r>
        <w:rPr/>
        <w:t>Procédure de réponse</w:t>
      </w:r>
    </w:p>
    <w:p>
      <w:pPr>
        <w:pStyle w:val="TextBody"/>
        <w:rPr/>
      </w:pPr>
      <w:r>
        <w:rPr/>
        <w:t>Notre procédure de réponse aux incidents suit six étapes structurées.</w:t>
      </w:r>
    </w:p>
    <w:p>
      <w:pPr>
        <w:pStyle w:val="TextBody"/>
        <w:numPr>
          <w:ilvl w:val="0"/>
          <w:numId w:val="31"/>
        </w:numPr>
        <w:tabs>
          <w:tab w:val="clear" w:pos="708"/>
          <w:tab w:val="left" w:pos="0" w:leader="none"/>
        </w:tabs>
        <w:ind w:left="709" w:hanging="283"/>
        <w:rPr/>
      </w:pPr>
      <w:r>
        <w:rPr/>
        <w:t>La détection de l'incident peut provenir de notre système de monitoring, d'une alerte automatique ou d'un signalement humain.</w:t>
      </w:r>
    </w:p>
    <w:p>
      <w:pPr>
        <w:pStyle w:val="TextBody"/>
        <w:numPr>
          <w:ilvl w:val="0"/>
          <w:numId w:val="31"/>
        </w:numPr>
        <w:tabs>
          <w:tab w:val="clear" w:pos="708"/>
          <w:tab w:val="left" w:pos="0" w:leader="none"/>
        </w:tabs>
        <w:ind w:left="709" w:hanging="283"/>
        <w:rPr/>
      </w:pPr>
      <w:r>
        <w:rPr/>
        <w:t>Nous évaluons immédiatement la gravité et le périmètre affecté pour classifier l'incident correctement.</w:t>
      </w:r>
    </w:p>
    <w:p>
      <w:pPr>
        <w:pStyle w:val="TextBody"/>
        <w:numPr>
          <w:ilvl w:val="0"/>
          <w:numId w:val="31"/>
        </w:numPr>
        <w:tabs>
          <w:tab w:val="clear" w:pos="708"/>
          <w:tab w:val="left" w:pos="0" w:leader="none"/>
        </w:tabs>
        <w:ind w:left="709" w:hanging="283"/>
        <w:rPr/>
      </w:pPr>
      <w:r>
        <w:rPr/>
        <w:t>La phase de containment vise à isoler les systèmes affectés et à limiter la propagation de l'incident.</w:t>
      </w:r>
    </w:p>
    <w:p>
      <w:pPr>
        <w:pStyle w:val="TextBody"/>
        <w:numPr>
          <w:ilvl w:val="0"/>
          <w:numId w:val="31"/>
        </w:numPr>
        <w:tabs>
          <w:tab w:val="clear" w:pos="708"/>
          <w:tab w:val="left" w:pos="0" w:leader="none"/>
        </w:tabs>
        <w:ind w:left="709" w:hanging="283"/>
        <w:rPr/>
      </w:pPr>
      <w:r>
        <w:rPr/>
        <w:t>L'éradication consiste à supprimer la cause racine de l'incident, qu'il s'agisse d'un malware, d'une configuration vulnérable ou d'un compte compromis.</w:t>
      </w:r>
    </w:p>
    <w:p>
      <w:pPr>
        <w:pStyle w:val="TextBody"/>
        <w:numPr>
          <w:ilvl w:val="0"/>
          <w:numId w:val="31"/>
        </w:numPr>
        <w:tabs>
          <w:tab w:val="clear" w:pos="708"/>
          <w:tab w:val="left" w:pos="0" w:leader="none"/>
        </w:tabs>
        <w:ind w:left="709" w:hanging="283"/>
        <w:rPr/>
      </w:pPr>
      <w:r>
        <w:rPr/>
        <w:t>La récupération permet de restaurer le service normal de manière contrôlée et sécurisée.</w:t>
      </w:r>
    </w:p>
    <w:p>
      <w:pPr>
        <w:pStyle w:val="TextBody"/>
        <w:numPr>
          <w:ilvl w:val="0"/>
          <w:numId w:val="31"/>
        </w:numPr>
        <w:tabs>
          <w:tab w:val="clear" w:pos="708"/>
          <w:tab w:val="left" w:pos="0" w:leader="none"/>
        </w:tabs>
        <w:ind w:left="709" w:hanging="283"/>
        <w:rPr/>
      </w:pPr>
      <w:r>
        <w:rPr/>
        <w:t>Enfin, la phase post-incident est cruciale pour tirer les enseignements de l'événement. Nous effectuons une analyse approfondie, documentons les leçons apprises et mettons en œuvre les actions correctives pour éviter qu'un incident similaire ne se reproduise.</w:t>
      </w:r>
    </w:p>
    <w:p>
      <w:pPr>
        <w:pStyle w:val="TextBody"/>
        <w:rPr/>
      </w:pPr>
      <w:r>
        <w:rPr/>
        <w:t xml:space="preserve">Lorsqu'un incident implique une violation de données personnelles, nous déclenchons immédiatement la procédure spécifique de notification à l'APDP documentée dans </w:t>
      </w:r>
      <w:r>
        <w:rPr>
          <w:rStyle w:val="StrongEmphasis"/>
        </w:rPr>
        <w:t>PROC-03</w:t>
      </w:r>
      <w:r>
        <w:rPr/>
        <w:t>, afin de respecter le délai légal de 72 heures.</w:t>
      </w:r>
    </w:p>
    <w:p>
      <w:pPr>
        <w:pStyle w:val="Heading2"/>
        <w:ind w:left="0" w:hanging="0"/>
        <w:rPr/>
      </w:pPr>
      <w:bookmarkStart w:id="50" w:name="__RefHeading___Toc58000_2150708505"/>
      <w:bookmarkEnd w:id="50"/>
      <w:r>
        <w:rPr/>
        <w:t>Communication</w:t>
      </w:r>
    </w:p>
    <w:p>
      <w:pPr>
        <w:pStyle w:val="TextBody"/>
        <w:rPr/>
      </w:pPr>
      <w:r>
        <w:rPr/>
        <w:t>La communication lors d'un incident de sécurité doit être gérée avec soin et transparence.</w:t>
      </w:r>
    </w:p>
    <w:p>
      <w:pPr>
        <w:pStyle w:val="TextBody"/>
        <w:numPr>
          <w:ilvl w:val="0"/>
          <w:numId w:val="32"/>
        </w:numPr>
        <w:tabs>
          <w:tab w:val="clear" w:pos="708"/>
          <w:tab w:val="left" w:pos="0" w:leader="none"/>
        </w:tabs>
        <w:ind w:left="709" w:hanging="283"/>
        <w:rPr/>
      </w:pPr>
      <w:r>
        <w:rPr/>
        <w:t>En interne</w:t>
      </w:r>
    </w:p>
    <w:p>
      <w:pPr>
        <w:pStyle w:val="TextBody"/>
        <w:numPr>
          <w:ilvl w:val="1"/>
          <w:numId w:val="32"/>
        </w:numPr>
        <w:tabs>
          <w:tab w:val="clear" w:pos="708"/>
          <w:tab w:val="left" w:pos="0" w:leader="none"/>
        </w:tabs>
        <w:ind w:left="1418" w:hanging="283"/>
        <w:rPr/>
      </w:pPr>
      <w:r>
        <w:rPr/>
        <w:t>Tous les incidents classés P1 ou P2 doivent faire l'objet d'une notification immédiate à la Direction Générale.</w:t>
      </w:r>
    </w:p>
    <w:p>
      <w:pPr>
        <w:pStyle w:val="TextBody"/>
        <w:numPr>
          <w:ilvl w:val="1"/>
          <w:numId w:val="32"/>
        </w:numPr>
        <w:tabs>
          <w:tab w:val="clear" w:pos="708"/>
          <w:tab w:val="left" w:pos="0" w:leader="none"/>
        </w:tabs>
        <w:ind w:left="1418" w:hanging="283"/>
        <w:rPr/>
      </w:pPr>
      <w:r>
        <w:rPr/>
        <w:t>Pour tous les incidents, quel que soit leur niveau, un rapport post-incident détaillé est rédigé et partagé avec les parties prenantes concernées.</w:t>
      </w:r>
    </w:p>
    <w:p>
      <w:pPr>
        <w:pStyle w:val="TextBody"/>
        <w:numPr>
          <w:ilvl w:val="0"/>
          <w:numId w:val="32"/>
        </w:numPr>
        <w:tabs>
          <w:tab w:val="clear" w:pos="708"/>
          <w:tab w:val="left" w:pos="0" w:leader="none"/>
        </w:tabs>
        <w:ind w:left="709" w:hanging="283"/>
        <w:rPr/>
      </w:pPr>
      <w:r>
        <w:rPr/>
        <w:t>En externe? Notre communication dépend de la nature et de l'impact de l'incident.</w:t>
      </w:r>
    </w:p>
    <w:p>
      <w:pPr>
        <w:pStyle w:val="TextBody"/>
        <w:numPr>
          <w:ilvl w:val="1"/>
          <w:numId w:val="32"/>
        </w:numPr>
        <w:tabs>
          <w:tab w:val="clear" w:pos="708"/>
          <w:tab w:val="left" w:pos="0" w:leader="none"/>
        </w:tabs>
        <w:ind w:left="1418" w:hanging="283"/>
        <w:rPr/>
      </w:pPr>
      <w:r>
        <w:rPr/>
        <w:t>Si une violation de données personnelles est avérée, nous sommes légalement tenus de notifier l'APDP dans un délai de 72 heures.</w:t>
      </w:r>
    </w:p>
    <w:p>
      <w:pPr>
        <w:pStyle w:val="TextBody"/>
        <w:numPr>
          <w:ilvl w:val="1"/>
          <w:numId w:val="32"/>
        </w:numPr>
        <w:tabs>
          <w:tab w:val="clear" w:pos="708"/>
          <w:tab w:val="left" w:pos="0" w:leader="none"/>
        </w:tabs>
        <w:ind w:left="1418" w:hanging="283"/>
        <w:rPr/>
      </w:pPr>
      <w:r>
        <w:rPr/>
        <w:t>Si l'incident a un impact direct sur nos clients ou utilisateurs, nous les informons selon la gravité de la situation et de manière transparente.</w:t>
      </w:r>
    </w:p>
    <w:p>
      <w:pPr>
        <w:pStyle w:val="TextBody"/>
        <w:numPr>
          <w:ilvl w:val="1"/>
          <w:numId w:val="32"/>
        </w:numPr>
        <w:tabs>
          <w:tab w:val="clear" w:pos="708"/>
          <w:tab w:val="left" w:pos="0" w:leader="none"/>
        </w:tabs>
        <w:ind w:left="1418" w:hanging="283"/>
        <w:rPr/>
      </w:pPr>
      <w:r>
        <w:rPr/>
        <w:t>Si la loi l'exige ou si les autorités compétentes le demandent, nous communiquons toutes les informations nécessaires dans le respect de nos obligations légales.</w:t>
      </w:r>
    </w:p>
    <w:p>
      <w:pPr>
        <w:pStyle w:val="Heading2"/>
        <w:ind w:left="0" w:hanging="0"/>
        <w:rPr/>
      </w:pPr>
      <w:bookmarkStart w:id="51" w:name="__RefHeading___Toc58002_2150708505"/>
      <w:bookmarkEnd w:id="51"/>
      <w:r>
        <w:rPr/>
        <w:t>Registre des incidents</w:t>
      </w:r>
    </w:p>
    <w:p>
      <w:pPr>
        <w:pStyle w:val="TextBody"/>
        <w:rPr/>
      </w:pPr>
      <w:r>
        <w:rPr/>
        <w:t>Nous tenons à jour un registre exhaustif de tous les incidents de sécurité survenus sur notre infrastructure.</w:t>
      </w:r>
    </w:p>
    <w:p>
      <w:pPr>
        <w:pStyle w:val="TextBody"/>
        <w:numPr>
          <w:ilvl w:val="0"/>
          <w:numId w:val="33"/>
        </w:numPr>
        <w:tabs>
          <w:tab w:val="clear" w:pos="708"/>
          <w:tab w:val="left" w:pos="0" w:leader="none"/>
        </w:tabs>
        <w:ind w:left="709" w:hanging="283"/>
        <w:rPr/>
      </w:pPr>
      <w:r>
        <w:rPr/>
        <w:t>Cette obligation nous permet de conserver une trace documentée de notre gestion de la sécurité et constitue une preuve de notre conformité aux exigences réglementaires.</w:t>
      </w:r>
    </w:p>
    <w:p>
      <w:pPr>
        <w:pStyle w:val="TextBody"/>
        <w:numPr>
          <w:ilvl w:val="0"/>
          <w:numId w:val="33"/>
        </w:numPr>
        <w:tabs>
          <w:tab w:val="clear" w:pos="708"/>
          <w:tab w:val="left" w:pos="0" w:leader="none"/>
        </w:tabs>
        <w:ind w:left="709" w:hanging="283"/>
        <w:rPr/>
      </w:pPr>
      <w:r>
        <w:rPr/>
        <w:t>Le registre est conservé pendant au minimum 3 ans pour chaque incident. Pour chaque événement, nous documentons la date et l'heure de survenance, le type d'incident et sa classification, les actions entreprises pour le résoudre, la durée totale de l'incident, l'impact constaté sur nos systèmes et nos utilisateurs, ainsi que les leçons apprises et les améliorations mises en œuvre.</w:t>
      </w:r>
    </w:p>
    <w:p>
      <w:pPr>
        <w:pStyle w:val="Heading1"/>
        <w:ind w:left="0" w:hanging="0"/>
        <w:rPr/>
      </w:pPr>
      <w:bookmarkStart w:id="52" w:name="__RefHeading___Toc58004_2150708505"/>
      <w:bookmarkEnd w:id="52"/>
      <w:r>
        <w:rPr/>
        <w:t>FORMATION ET SENSIBILISATION</w:t>
      </w:r>
    </w:p>
    <w:p>
      <w:pPr>
        <w:pStyle w:val="Heading2"/>
        <w:ind w:left="0" w:hanging="0"/>
        <w:rPr/>
      </w:pPr>
      <w:bookmarkStart w:id="53" w:name="__RefHeading___Toc58006_2150708505"/>
      <w:bookmarkEnd w:id="53"/>
      <w:r>
        <w:rPr/>
        <w:t>Formation initiale</w:t>
      </w:r>
    </w:p>
    <w:p>
      <w:pPr>
        <w:pStyle w:val="TextBody"/>
        <w:rPr/>
      </w:pPr>
      <w:r>
        <w:rPr/>
        <w:t>Tout nouvel utilisateur recevant un accès à nos serveurs doit obligatoirement suivre une formation initiale avant que cet accès ne lui soit effectivement accordé. Cette formation couvre la présentation complète de notre politique de sécurité et de ses principes fondamentaux.</w:t>
      </w:r>
    </w:p>
    <w:p>
      <w:pPr>
        <w:pStyle w:val="TextBody"/>
        <w:numPr>
          <w:ilvl w:val="0"/>
          <w:numId w:val="34"/>
        </w:numPr>
        <w:tabs>
          <w:tab w:val="clear" w:pos="708"/>
          <w:tab w:val="left" w:pos="0" w:leader="none"/>
        </w:tabs>
        <w:ind w:left="709" w:hanging="283"/>
        <w:rPr/>
      </w:pPr>
      <w:r>
        <w:rPr/>
        <w:t xml:space="preserve">Les participants sont formés aux bonnes pratiques essentielles, notamment la gestion sécurisée des mots de passe, l'utilisation correcte des clés SSH et l'utilisation obligatoire de </w:t>
      </w:r>
      <w:r>
        <w:rPr>
          <w:rStyle w:val="StrongEmphasis"/>
        </w:rPr>
        <w:t xml:space="preserve">NetByUs Password Manager (Passbolt) </w:t>
      </w:r>
      <w:r>
        <w:rPr/>
        <w:t>pour le stockage des identifiants.</w:t>
      </w:r>
    </w:p>
    <w:p>
      <w:pPr>
        <w:pStyle w:val="TextBody"/>
        <w:numPr>
          <w:ilvl w:val="0"/>
          <w:numId w:val="34"/>
        </w:numPr>
        <w:tabs>
          <w:tab w:val="clear" w:pos="708"/>
          <w:tab w:val="left" w:pos="0" w:leader="none"/>
        </w:tabs>
        <w:ind w:left="709" w:hanging="283"/>
        <w:rPr/>
      </w:pPr>
      <w:r>
        <w:rPr/>
        <w:t>Ils sont également informés de leurs obligations légales, particulièrement en matière de protection des données personnelles si leur rôle implique l'accès à de telles données.</w:t>
      </w:r>
    </w:p>
    <w:p>
      <w:pPr>
        <w:pStyle w:val="TextBody"/>
        <w:numPr>
          <w:ilvl w:val="0"/>
          <w:numId w:val="34"/>
        </w:numPr>
        <w:tabs>
          <w:tab w:val="clear" w:pos="708"/>
          <w:tab w:val="left" w:pos="0" w:leader="none"/>
        </w:tabs>
        <w:ind w:left="709" w:hanging="283"/>
        <w:rPr/>
      </w:pPr>
      <w:r>
        <w:rPr/>
        <w:t>Enfin, la formation couvre les procédures de signalement d'incident, afin que chacun sache comment réagir rapidement en cas de problème de sécurité.</w:t>
      </w:r>
    </w:p>
    <w:p>
      <w:pPr>
        <w:pStyle w:val="TextBody"/>
        <w:rPr>
          <w:b/>
          <w:b/>
          <w:bCs/>
          <w:color w:val="F07817"/>
        </w:rPr>
      </w:pPr>
      <w:r>
        <w:rPr>
          <w:b/>
          <w:bCs/>
          <w:color w:val="F07817"/>
        </w:rPr>
        <w:t>Cette formation est dispensée avant l'attribution effective de tout accès aux serveurs.</w:t>
      </w:r>
    </w:p>
    <w:p>
      <w:pPr>
        <w:pStyle w:val="Heading2"/>
        <w:ind w:left="0" w:hanging="0"/>
        <w:rPr/>
      </w:pPr>
      <w:bookmarkStart w:id="54" w:name="__RefHeading___Toc58008_2150708505"/>
      <w:bookmarkEnd w:id="54"/>
      <w:r>
        <w:rPr/>
        <w:t>Formation APDP</w:t>
      </w:r>
    </w:p>
    <w:p>
      <w:pPr>
        <w:pStyle w:val="TextBody"/>
        <w:rPr/>
      </w:pPr>
      <w:r>
        <w:rPr/>
        <w:t>Une formation spécifique à la protection des données personnelles est obligatoire pour tout utilisateur accédant à des serveurs hébergeant de telles données. Cette exigence découle directement de nos obligations légales en matière de protection des données.</w:t>
      </w:r>
    </w:p>
    <w:p>
      <w:pPr>
        <w:pStyle w:val="TextBody"/>
        <w:numPr>
          <w:ilvl w:val="0"/>
          <w:numId w:val="35"/>
        </w:numPr>
        <w:tabs>
          <w:tab w:val="clear" w:pos="708"/>
          <w:tab w:val="left" w:pos="0" w:leader="none"/>
        </w:tabs>
        <w:ind w:left="709" w:hanging="283"/>
        <w:rPr/>
      </w:pPr>
      <w:r>
        <w:rPr/>
        <w:t>La formation commence par une définition claire de ce que constituent les données personnelles et les données sensibles.</w:t>
      </w:r>
    </w:p>
    <w:p>
      <w:pPr>
        <w:pStyle w:val="TextBody"/>
        <w:numPr>
          <w:ilvl w:val="0"/>
          <w:numId w:val="35"/>
        </w:numPr>
        <w:tabs>
          <w:tab w:val="clear" w:pos="708"/>
          <w:tab w:val="left" w:pos="0" w:leader="none"/>
        </w:tabs>
        <w:ind w:left="709" w:hanging="283"/>
        <w:rPr/>
      </w:pPr>
      <w:r>
        <w:rPr/>
        <w:t>Elle détaille ensuite les obligations légales qui s'appliquent à chaque personne manipulant ces données, notamment l'obligation de confidentialité et la limitation d'usage aux seules finalités autorisées.</w:t>
      </w:r>
    </w:p>
    <w:p>
      <w:pPr>
        <w:pStyle w:val="TextBody"/>
        <w:numPr>
          <w:ilvl w:val="0"/>
          <w:numId w:val="35"/>
        </w:numPr>
        <w:tabs>
          <w:tab w:val="clear" w:pos="708"/>
          <w:tab w:val="left" w:pos="0" w:leader="none"/>
        </w:tabs>
        <w:ind w:left="709" w:hanging="283"/>
        <w:rPr/>
      </w:pPr>
      <w:r>
        <w:rPr/>
        <w:t>Les participants apprennent les mesures de protection spécifiques qu'ils doivent appliquer au quotidien dans leur travail.</w:t>
      </w:r>
    </w:p>
    <w:p>
      <w:pPr>
        <w:pStyle w:val="TextBody"/>
        <w:numPr>
          <w:ilvl w:val="0"/>
          <w:numId w:val="35"/>
        </w:numPr>
        <w:tabs>
          <w:tab w:val="clear" w:pos="708"/>
          <w:tab w:val="left" w:pos="0" w:leader="none"/>
        </w:tabs>
        <w:ind w:left="709" w:hanging="283"/>
        <w:rPr/>
      </w:pPr>
      <w:r>
        <w:rPr/>
        <w:t>Enfin, la formation couvre la procédure à suivre en cas de violation de données, incluant l'importance de la notification rapide.</w:t>
      </w:r>
    </w:p>
    <w:p>
      <w:pPr>
        <w:pStyle w:val="TextBody"/>
        <w:rPr>
          <w:b/>
          <w:b/>
          <w:bCs/>
          <w:color w:val="F07817"/>
        </w:rPr>
      </w:pPr>
      <w:r>
        <w:rPr>
          <w:b/>
          <w:bCs/>
          <w:color w:val="F07817"/>
        </w:rPr>
        <w:t>Cette formation est dispensée lors de la prise de fonction, puis un recyclage annuel est obligatoire pour maintenir le niveau de connaissance et rappeler les obligations à tous.</w:t>
      </w:r>
    </w:p>
    <w:p>
      <w:pPr>
        <w:pStyle w:val="Heading2"/>
        <w:ind w:left="0" w:hanging="0"/>
        <w:rPr/>
      </w:pPr>
      <w:bookmarkStart w:id="55" w:name="__RefHeading___Toc58010_2150708505"/>
      <w:bookmarkEnd w:id="55"/>
      <w:r>
        <w:rPr/>
        <w:t>Sensibilisation continue</w:t>
      </w:r>
    </w:p>
    <w:p>
      <w:pPr>
        <w:pStyle w:val="TextBody"/>
        <w:rPr/>
      </w:pPr>
      <w:r>
        <w:rPr/>
        <w:t>Au-delà des formations initiales, nous maintenons une sensibilisation continue de tous les utilisateurs aux enjeux de sécurité.</w:t>
      </w:r>
    </w:p>
    <w:p>
      <w:pPr>
        <w:pStyle w:val="TextBody"/>
        <w:numPr>
          <w:ilvl w:val="0"/>
          <w:numId w:val="36"/>
        </w:numPr>
        <w:tabs>
          <w:tab w:val="clear" w:pos="708"/>
          <w:tab w:val="left" w:pos="0" w:leader="none"/>
        </w:tabs>
        <w:ind w:left="709" w:hanging="283"/>
        <w:rPr/>
      </w:pPr>
      <w:r>
        <w:rPr/>
        <w:t>Nous envoyons régulièrement des emails de sensibilisation rappelant les bonnes pratiques, alertant sur de nouvelles menaces ou vulnérabilités, et partageant des conseils pratiques.</w:t>
      </w:r>
    </w:p>
    <w:p>
      <w:pPr>
        <w:pStyle w:val="TextBody"/>
        <w:numPr>
          <w:ilvl w:val="0"/>
          <w:numId w:val="36"/>
        </w:numPr>
        <w:tabs>
          <w:tab w:val="clear" w:pos="708"/>
          <w:tab w:val="left" w:pos="0" w:leader="none"/>
        </w:tabs>
        <w:ind w:left="709" w:hanging="283"/>
        <w:rPr/>
      </w:pPr>
      <w:r>
        <w:rPr/>
        <w:t>Les retours d'expérience sur les incidents survenus, présentés de manière anonymisée pour protéger les personnes impliquées, constituent des occasions d'apprentissage collectives.</w:t>
      </w:r>
    </w:p>
    <w:p>
      <w:pPr>
        <w:pStyle w:val="TextBody"/>
        <w:numPr>
          <w:ilvl w:val="0"/>
          <w:numId w:val="36"/>
        </w:numPr>
        <w:tabs>
          <w:tab w:val="clear" w:pos="708"/>
          <w:tab w:val="left" w:pos="0" w:leader="none"/>
        </w:tabs>
        <w:ind w:left="709" w:hanging="283"/>
        <w:rPr/>
      </w:pPr>
      <w:r>
        <w:rPr/>
        <w:t>Nous diffusons également une veille sécurité informant sur les nouvelles vulnérabilités découvertes, les menaces émergentes et les évolutions des bonnes pratiques du secteur.</w:t>
      </w:r>
    </w:p>
    <w:p>
      <w:pPr>
        <w:pStyle w:val="TextBody"/>
        <w:rPr>
          <w:b/>
          <w:b/>
          <w:bCs/>
          <w:color w:val="F07817"/>
        </w:rPr>
      </w:pPr>
      <w:r>
        <w:rPr>
          <w:b/>
          <w:bCs/>
          <w:color w:val="F07817"/>
        </w:rPr>
        <w:t>Cette sensibilisation est effectuée au minimum trimestriellement, soit quatre fois par an, pour maintenir la sécurité comme une préoccupation constante de tous.</w:t>
      </w:r>
    </w:p>
    <w:p>
      <w:pPr>
        <w:pStyle w:val="Heading1"/>
        <w:ind w:left="0" w:hanging="0"/>
        <w:rPr/>
      </w:pPr>
      <w:bookmarkStart w:id="56" w:name="__RefHeading___Toc58012_2150708505"/>
      <w:bookmarkEnd w:id="56"/>
      <w:r>
        <w:rPr/>
        <w:t>AMÉLIORATION CONTINUE</w:t>
      </w:r>
    </w:p>
    <w:p>
      <w:pPr>
        <w:pStyle w:val="Heading2"/>
        <w:ind w:left="0" w:hanging="0"/>
        <w:rPr/>
      </w:pPr>
      <w:bookmarkStart w:id="57" w:name="__RefHeading___Toc58014_2150708505"/>
      <w:bookmarkEnd w:id="57"/>
      <w:r>
        <w:rPr/>
        <w:t>Veille technologique</w:t>
      </w:r>
    </w:p>
    <w:p>
      <w:pPr>
        <w:pStyle w:val="TextBody"/>
        <w:rPr/>
      </w:pPr>
      <w:r>
        <w:rPr/>
        <w:t>Le Responsable des Services Internes assure une veille technologique constante pour maintenir notre niveau de sécurité face à l'évolution permanente des menaces. Cette veille s'appuie sur plusieurs sources fiables et reconnues.</w:t>
      </w:r>
    </w:p>
    <w:p>
      <w:pPr>
        <w:pStyle w:val="TextBody"/>
        <w:numPr>
          <w:ilvl w:val="0"/>
          <w:numId w:val="37"/>
        </w:numPr>
        <w:tabs>
          <w:tab w:val="clear" w:pos="708"/>
          <w:tab w:val="left" w:pos="0" w:leader="none"/>
        </w:tabs>
        <w:ind w:left="709" w:hanging="283"/>
        <w:rPr/>
      </w:pPr>
      <w:r>
        <w:rPr/>
        <w:t xml:space="preserve">Nous suivons attentivement les bulletins de sécurité Ubuntu publiés sur </w:t>
      </w:r>
      <w:hyperlink r:id="rId4" w:tgtFrame="_blank">
        <w:r>
          <w:rPr>
            <w:rStyle w:val="InternetLink"/>
          </w:rPr>
          <w:t>https://ubuntu.com/security</w:t>
        </w:r>
      </w:hyperlink>
      <w:r>
        <w:rPr/>
        <w:t>, qui nous informent des vulnérabilités affectant notre système d'exploitation.</w:t>
      </w:r>
    </w:p>
    <w:p>
      <w:pPr>
        <w:pStyle w:val="TextBody"/>
        <w:numPr>
          <w:ilvl w:val="0"/>
          <w:numId w:val="37"/>
        </w:numPr>
        <w:tabs>
          <w:tab w:val="clear" w:pos="708"/>
          <w:tab w:val="left" w:pos="0" w:leader="none"/>
        </w:tabs>
        <w:ind w:left="709" w:hanging="283"/>
        <w:rPr/>
      </w:pPr>
      <w:r>
        <w:rPr/>
        <w:t>La base de données CVE (Common Vulnerabilities and Exposures) nous permet de suivre toutes les vulnérabilités publiquement connues et d'évaluer leur criticité.</w:t>
      </w:r>
    </w:p>
    <w:p>
      <w:pPr>
        <w:pStyle w:val="TextBody"/>
        <w:numPr>
          <w:ilvl w:val="0"/>
          <w:numId w:val="37"/>
        </w:numPr>
        <w:tabs>
          <w:tab w:val="clear" w:pos="708"/>
          <w:tab w:val="left" w:pos="0" w:leader="none"/>
        </w:tabs>
        <w:ind w:left="709" w:hanging="283"/>
        <w:rPr/>
      </w:pPr>
      <w:r>
        <w:rPr/>
        <w:t>Nous consultons régulièrement les publications de l'ANSSI, l'Agence Nationale de la Sécurité des Systèmes d'Information française, qui produit des guides et recommandations de sécurité de haute qualité.</w:t>
      </w:r>
    </w:p>
    <w:p>
      <w:pPr>
        <w:pStyle w:val="TextBody"/>
        <w:numPr>
          <w:ilvl w:val="0"/>
          <w:numId w:val="37"/>
        </w:numPr>
        <w:tabs>
          <w:tab w:val="clear" w:pos="708"/>
          <w:tab w:val="left" w:pos="0" w:leader="none"/>
        </w:tabs>
        <w:ind w:left="709" w:hanging="283"/>
        <w:rPr/>
      </w:pPr>
      <w:r>
        <w:rPr/>
        <w:t>Si un CERT (Computer Emergency Response Team) existe au Bénin, nous en suivons également les alertes et recommandations.</w:t>
      </w:r>
    </w:p>
    <w:p>
      <w:pPr>
        <w:pStyle w:val="TextBody"/>
        <w:numPr>
          <w:ilvl w:val="0"/>
          <w:numId w:val="37"/>
        </w:numPr>
        <w:tabs>
          <w:tab w:val="clear" w:pos="708"/>
          <w:tab w:val="left" w:pos="0" w:leader="none"/>
        </w:tabs>
        <w:ind w:left="709" w:hanging="283"/>
        <w:rPr/>
      </w:pPr>
      <w:r>
        <w:rPr/>
        <w:t>Enfin, nous participons à des communautés de sécurité, suivons des forums spécialisés et des blogs d'experts reconnus pour rester informés des dernières tendances, techniques d'attaque et moyens de défense.</w:t>
      </w:r>
    </w:p>
    <w:p>
      <w:pPr>
        <w:pStyle w:val="Heading2"/>
        <w:ind w:left="0" w:hanging="0"/>
        <w:rPr/>
      </w:pPr>
      <w:bookmarkStart w:id="58" w:name="__RefHeading___Toc58016_2150708505"/>
      <w:bookmarkEnd w:id="58"/>
      <w:r>
        <w:rPr/>
        <w:t>Retour d'expérience</w:t>
      </w:r>
    </w:p>
    <w:p>
      <w:pPr>
        <w:pStyle w:val="TextBody"/>
        <w:rPr/>
      </w:pPr>
      <w:r>
        <w:rPr/>
        <w:t>Chaque incident classé P1 ou P2 fait obligatoirement l'objet d'une analyse post-mortem approfondie. Cette analyse ne vise pas à chercher des responsables, mais à comprendre ce qui s'est passé et comment nous pouvons nous améliorer.</w:t>
      </w:r>
    </w:p>
    <w:p>
      <w:pPr>
        <w:pStyle w:val="TextBody"/>
        <w:numPr>
          <w:ilvl w:val="0"/>
          <w:numId w:val="38"/>
        </w:numPr>
        <w:tabs>
          <w:tab w:val="clear" w:pos="708"/>
          <w:tab w:val="left" w:pos="0" w:leader="none"/>
        </w:tabs>
        <w:ind w:left="709" w:hanging="283"/>
        <w:rPr/>
      </w:pPr>
      <w:r>
        <w:rPr/>
        <w:t>Nous identifions systématiquement les améliorations possibles, qu'il s'agisse de modifications techniques, de mises à jour de procédures ou de besoins de formation supplémentaire.</w:t>
      </w:r>
    </w:p>
    <w:p>
      <w:pPr>
        <w:pStyle w:val="TextBody"/>
        <w:numPr>
          <w:ilvl w:val="0"/>
          <w:numId w:val="38"/>
        </w:numPr>
        <w:tabs>
          <w:tab w:val="clear" w:pos="708"/>
          <w:tab w:val="left" w:pos="0" w:leader="none"/>
        </w:tabs>
        <w:ind w:left="709" w:hanging="283"/>
        <w:rPr/>
      </w:pPr>
      <w:r>
        <w:rPr/>
        <w:t>Si l'incident a révélé des lacunes dans nos procédures, celles-ci sont immédiatement mises à jour pour intégrer les enseignements tirés.</w:t>
      </w:r>
    </w:p>
    <w:p>
      <w:pPr>
        <w:pStyle w:val="TextBody"/>
        <w:rPr>
          <w:b/>
          <w:b/>
          <w:bCs/>
          <w:color w:val="F07817"/>
        </w:rPr>
      </w:pPr>
      <w:r>
        <w:rPr>
          <w:b/>
          <w:bCs/>
          <w:color w:val="F07817"/>
        </w:rPr>
        <w:t>Cette approche d'amélioration continue transforme chaque incident en opportunité d'apprentissage et de renforcement de notre posture de sécurité.</w:t>
      </w:r>
    </w:p>
    <w:p>
      <w:pPr>
        <w:pStyle w:val="Heading2"/>
        <w:ind w:left="0" w:hanging="0"/>
        <w:rPr/>
      </w:pPr>
      <w:bookmarkStart w:id="59" w:name="__RefHeading___Toc58018_2150708505"/>
      <w:bookmarkEnd w:id="59"/>
      <w:r>
        <w:rPr/>
        <w:t>Révision de la politique</w:t>
      </w:r>
    </w:p>
    <w:p>
      <w:pPr>
        <w:pStyle w:val="TextBody"/>
        <w:rPr/>
      </w:pPr>
      <w:r>
        <w:rPr/>
        <w:t>Notre politique de sécurité fait l'objet d'une révision annuelle minimum, traditionnellement effectuée en janvier de chaque année. Cette révision systématique nous permet de nous assurer que la politique reste adaptée à notre contexte et aux menaces actuelles.</w:t>
      </w:r>
    </w:p>
    <w:p>
      <w:pPr>
        <w:pStyle w:val="TextBody"/>
        <w:numPr>
          <w:ilvl w:val="0"/>
          <w:numId w:val="39"/>
        </w:numPr>
        <w:tabs>
          <w:tab w:val="clear" w:pos="708"/>
          <w:tab w:val="left" w:pos="0" w:leader="none"/>
        </w:tabs>
        <w:ind w:left="709" w:hanging="283"/>
        <w:rPr/>
      </w:pPr>
      <w:r>
        <w:rPr/>
        <w:t>Au-delà de cette révision planifiée, des révisions exceptionnelles peuvent être déclenchées dans plusieurs situations. Un incident majeur peut révéler des lacunes nécessitant une mise à jour urgente de la politique. Une évolution réglementaire, telle qu'une nouvelle loi de l'APDP ou des modifications des exigences de conformité, nécessite une adaptation rapide.</w:t>
      </w:r>
    </w:p>
    <w:p>
      <w:pPr>
        <w:pStyle w:val="TextBody"/>
        <w:numPr>
          <w:ilvl w:val="0"/>
          <w:numId w:val="39"/>
        </w:numPr>
        <w:tabs>
          <w:tab w:val="clear" w:pos="708"/>
          <w:tab w:val="left" w:pos="0" w:leader="none"/>
        </w:tabs>
        <w:ind w:left="709" w:hanging="283"/>
        <w:rPr/>
      </w:pPr>
      <w:r>
        <w:rPr/>
        <w:t>Un changement d'infrastructure majeur, comme une migration vers un nouveau fournisseur cloud ou l'adoption de nouvelles technologies, peut également justifier une révision. Enfin, l'identification de nouvelles menaces significatives peut nous conduire à renforcer certains aspects de la politique.</w:t>
      </w:r>
    </w:p>
    <w:p>
      <w:pPr>
        <w:pStyle w:val="TextBody"/>
        <w:rPr>
          <w:b/>
          <w:b/>
          <w:bCs/>
          <w:color w:val="F07817"/>
        </w:rPr>
      </w:pPr>
      <w:r>
        <w:rPr>
          <w:b/>
          <w:bCs/>
          <w:color w:val="F07817"/>
        </w:rPr>
        <w:t>Toute révision de la politique, qu'elle soit planifiée ou exceptionnelle, doit être formellement validée par la Direction Générale avant sa mise en application.</w:t>
      </w:r>
    </w:p>
    <w:p>
      <w:pPr>
        <w:pStyle w:val="Heading1"/>
        <w:ind w:left="0" w:hanging="0"/>
        <w:rPr/>
      </w:pPr>
      <w:bookmarkStart w:id="60" w:name="__RefHeading___Toc58020_2150708505"/>
      <w:bookmarkEnd w:id="60"/>
      <w:r>
        <w:rPr/>
        <w:t>SANCTIONS</w:t>
      </w:r>
    </w:p>
    <w:p>
      <w:pPr>
        <w:pStyle w:val="Heading2"/>
        <w:ind w:left="0" w:hanging="0"/>
        <w:rPr/>
      </w:pPr>
      <w:bookmarkStart w:id="61" w:name="__RefHeading___Toc58022_2150708505"/>
      <w:bookmarkEnd w:id="61"/>
      <w:r>
        <w:rPr/>
        <w:t>Non-respect de la politique</w:t>
      </w:r>
    </w:p>
    <w:p>
      <w:pPr>
        <w:pStyle w:val="TextBody"/>
        <w:rPr/>
      </w:pPr>
      <w:r>
        <w:rPr/>
        <w:t>Le non-respect de cette politique de sécurité est considéré comme une faute professionnelle grave. Les conséquences peuvent être proportionnées à la gravité du manquement, allant d'un simple avertissement jusqu'au licenciement dans les cas les plus graves.</w:t>
      </w:r>
    </w:p>
    <w:p>
      <w:pPr>
        <w:pStyle w:val="TextBody"/>
        <w:rPr/>
      </w:pPr>
      <w:r>
        <w:rPr/>
        <w:t>Plusieurs comportements constituent des violations graves de cette politique et exposent leurs auteurs à des sanctions disciplinaires sévères.</w:t>
      </w:r>
    </w:p>
    <w:p>
      <w:pPr>
        <w:pStyle w:val="TextBody"/>
        <w:numPr>
          <w:ilvl w:val="0"/>
          <w:numId w:val="40"/>
        </w:numPr>
        <w:tabs>
          <w:tab w:val="clear" w:pos="708"/>
          <w:tab w:val="left" w:pos="0" w:leader="none"/>
        </w:tabs>
        <w:ind w:left="709" w:hanging="283"/>
        <w:rPr/>
      </w:pPr>
      <w:r>
        <w:rPr/>
        <w:t>Le partage de compte ou d'identifiants compromet totalement la traçabilité et est donc strictement interdit.</w:t>
      </w:r>
    </w:p>
    <w:p>
      <w:pPr>
        <w:pStyle w:val="TextBody"/>
        <w:numPr>
          <w:ilvl w:val="0"/>
          <w:numId w:val="40"/>
        </w:numPr>
        <w:tabs>
          <w:tab w:val="clear" w:pos="708"/>
          <w:tab w:val="left" w:pos="0" w:leader="none"/>
        </w:tabs>
        <w:ind w:left="709" w:hanging="283"/>
        <w:rPr/>
      </w:pPr>
      <w:r>
        <w:rPr/>
        <w:t>L'accès non autorisé aux données, c'est-à-dire la consultation d'informations auxquelles l'utilisateur n'a pas été explicitement autorisé à accéder, constitue une violation majeure.</w:t>
      </w:r>
    </w:p>
    <w:p>
      <w:pPr>
        <w:pStyle w:val="TextBody"/>
        <w:numPr>
          <w:ilvl w:val="0"/>
          <w:numId w:val="40"/>
        </w:numPr>
        <w:tabs>
          <w:tab w:val="clear" w:pos="708"/>
          <w:tab w:val="left" w:pos="0" w:leader="none"/>
        </w:tabs>
        <w:ind w:left="709" w:hanging="283"/>
        <w:rPr/>
      </w:pPr>
      <w:r>
        <w:rPr/>
        <w:t>Le contournement délibéré des mesures de sécurité, même si l'intention était de "faciliter le travail", est inacceptable car il met en danger l'ensemble de notre infrastructure.</w:t>
      </w:r>
    </w:p>
    <w:p>
      <w:pPr>
        <w:pStyle w:val="TextBody"/>
        <w:numPr>
          <w:ilvl w:val="0"/>
          <w:numId w:val="40"/>
        </w:numPr>
        <w:tabs>
          <w:tab w:val="clear" w:pos="708"/>
          <w:tab w:val="left" w:pos="0" w:leader="none"/>
        </w:tabs>
        <w:ind w:left="709" w:hanging="283"/>
        <w:rPr/>
      </w:pPr>
      <w:r>
        <w:rPr/>
        <w:t>La divulgation non autorisée de données personnelles, en plus d'être une faute professionnelle, engage notre responsabilité légale.</w:t>
      </w:r>
    </w:p>
    <w:p>
      <w:pPr>
        <w:pStyle w:val="TextBody"/>
        <w:numPr>
          <w:ilvl w:val="0"/>
          <w:numId w:val="40"/>
        </w:numPr>
        <w:tabs>
          <w:tab w:val="clear" w:pos="708"/>
          <w:tab w:val="left" w:pos="0" w:leader="none"/>
        </w:tabs>
        <w:ind w:left="709" w:hanging="283"/>
        <w:rPr/>
      </w:pPr>
      <w:r>
        <w:rPr/>
        <w:t>Enfin, le non-signalement d'un incident de sécurité connu aggrave potentiellement ses conséquences et est donc sanctionnable.</w:t>
      </w:r>
    </w:p>
    <w:p>
      <w:pPr>
        <w:pStyle w:val="TextBody"/>
        <w:rPr>
          <w:b/>
          <w:b/>
          <w:bCs/>
          <w:color w:val="F07817"/>
        </w:rPr>
      </w:pPr>
      <w:r>
        <w:rPr>
          <w:b/>
          <w:bCs/>
          <w:color w:val="F07817"/>
        </w:rPr>
        <w:t>La gravité de la sanction est évaluée au cas par cas, en tenant compte des circonstances, de l'intention, de l'impact réel ou potentiel, et des antécédents de la personne concernée.</w:t>
      </w:r>
    </w:p>
    <w:p>
      <w:pPr>
        <w:pStyle w:val="Heading2"/>
        <w:ind w:left="0" w:hanging="0"/>
        <w:rPr/>
      </w:pPr>
      <w:bookmarkStart w:id="62" w:name="__RefHeading___Toc58024_2150708505"/>
      <w:bookmarkEnd w:id="62"/>
      <w:r>
        <w:rPr/>
        <w:t>Sanctions légales (APDP)</w:t>
      </w:r>
    </w:p>
    <w:p>
      <w:pPr>
        <w:pStyle w:val="TextBody"/>
        <w:rPr/>
      </w:pPr>
      <w:r>
        <w:rPr/>
        <w:t>Au-delà des sanctions internes, la violation des obligations en matière de protection des données personnelles expose l'entreprise et potentiellement les personnes impliquées à des sanctions légales prononcées par l'APDP.</w:t>
      </w:r>
    </w:p>
    <w:p>
      <w:pPr>
        <w:pStyle w:val="TextBody"/>
        <w:numPr>
          <w:ilvl w:val="0"/>
          <w:numId w:val="41"/>
        </w:numPr>
        <w:tabs>
          <w:tab w:val="clear" w:pos="708"/>
          <w:tab w:val="left" w:pos="0" w:leader="none"/>
        </w:tabs>
        <w:ind w:left="709" w:hanging="283"/>
        <w:rPr/>
      </w:pPr>
      <w:r>
        <w:rPr/>
        <w:t>L'autorité peut infliger des amendes administratives pouvant atteindre jusqu'à 5% du chiffre d'affaires annuel de l'entreprise, ce qui représente un risque financier considérable.</w:t>
      </w:r>
    </w:p>
    <w:p>
      <w:pPr>
        <w:pStyle w:val="TextBody"/>
        <w:numPr>
          <w:ilvl w:val="0"/>
          <w:numId w:val="41"/>
        </w:numPr>
        <w:tabs>
          <w:tab w:val="clear" w:pos="708"/>
          <w:tab w:val="left" w:pos="0" w:leader="none"/>
        </w:tabs>
        <w:ind w:left="709" w:hanging="283"/>
        <w:rPr/>
      </w:pPr>
      <w:r>
        <w:rPr/>
        <w:t>Dans certains cas graves, des sanctions pénales peuvent être prononcées à l'encontre des responsables.</w:t>
      </w:r>
    </w:p>
    <w:p>
      <w:pPr>
        <w:pStyle w:val="TextBody"/>
        <w:numPr>
          <w:ilvl w:val="0"/>
          <w:numId w:val="41"/>
        </w:numPr>
        <w:tabs>
          <w:tab w:val="clear" w:pos="708"/>
          <w:tab w:val="left" w:pos="0" w:leader="none"/>
        </w:tabs>
        <w:ind w:left="709" w:hanging="283"/>
        <w:rPr/>
      </w:pPr>
      <w:r>
        <w:rPr/>
        <w:t>Au-delà de l'aspect financier, une violation de données et les sanctions qui en découlent causent inévitablement une atteinte grave à la réputation de l'entreprise, avec des conséquences potentiellement durables sur la confiance de nos clients, partenaires et du public.</w:t>
      </w:r>
    </w:p>
    <w:p>
      <w:pPr>
        <w:pStyle w:val="TextBody"/>
        <w:rPr>
          <w:b/>
          <w:b/>
          <w:bCs/>
          <w:color w:val="F07817"/>
        </w:rPr>
      </w:pPr>
      <w:r>
        <w:rPr>
          <w:b/>
          <w:bCs/>
          <w:color w:val="F07817"/>
        </w:rPr>
        <w:t>C'est pourquoi le respect scrupuleux de cette politique et des obligations APDP n'est pas optionnel mais constitue une exigence absolue pour tous.</w:t>
      </w:r>
    </w:p>
    <w:p>
      <w:pPr>
        <w:pStyle w:val="Heading1"/>
        <w:ind w:left="0" w:hanging="0"/>
        <w:rPr/>
      </w:pPr>
      <w:bookmarkStart w:id="63" w:name="__RefHeading___Toc58026_2150708505"/>
      <w:bookmarkEnd w:id="63"/>
      <w:r>
        <w:rPr/>
        <w:t>DOCUMENTS DE RÉFÉRENCE</w:t>
      </w:r>
    </w:p>
    <w:p>
      <w:pPr>
        <w:pStyle w:val="Heading2"/>
        <w:ind w:left="0" w:hanging="0"/>
        <w:rPr/>
      </w:pPr>
      <w:bookmarkStart w:id="64" w:name="__RefHeading___Toc58028_2150708505"/>
      <w:bookmarkEnd w:id="64"/>
      <w:r>
        <w:rPr/>
        <w:t>Documents techniques</w:t>
      </w:r>
    </w:p>
    <w:p>
      <w:pPr>
        <w:pStyle w:val="TextBody"/>
        <w:rPr/>
      </w:pPr>
      <w:r>
        <w:rPr/>
        <w:t>Notre politique s'appuie sur plusieurs documents techniques détaillés qui en constituent l'application concrète.</w:t>
      </w:r>
    </w:p>
    <w:p>
      <w:pPr>
        <w:pStyle w:val="TextBody"/>
        <w:numPr>
          <w:ilvl w:val="0"/>
          <w:numId w:val="42"/>
        </w:numPr>
        <w:tabs>
          <w:tab w:val="clear" w:pos="708"/>
          <w:tab w:val="left" w:pos="0" w:leader="none"/>
        </w:tabs>
        <w:ind w:left="709" w:hanging="283"/>
        <w:rPr/>
      </w:pPr>
      <w:r>
        <w:rPr/>
        <w:t xml:space="preserve">Le document </w:t>
      </w:r>
      <w:r>
        <w:rPr>
          <w:rStyle w:val="StrongEmphasis"/>
        </w:rPr>
        <w:t>DOC-REF-01</w:t>
      </w:r>
      <w:r>
        <w:rPr/>
        <w:t>, intitulé "Référentiel de Configuration des Serveurs Linux", contient toutes les configurations techniques détaillées que nos administrateurs doivent appliquer sur chaque serveur.</w:t>
      </w:r>
    </w:p>
    <w:p>
      <w:pPr>
        <w:pStyle w:val="TextBody"/>
        <w:numPr>
          <w:ilvl w:val="0"/>
          <w:numId w:val="42"/>
        </w:numPr>
        <w:tabs>
          <w:tab w:val="clear" w:pos="708"/>
          <w:tab w:val="left" w:pos="0" w:leader="none"/>
        </w:tabs>
        <w:ind w:left="709" w:hanging="283"/>
        <w:rPr/>
      </w:pPr>
      <w:r>
        <w:rPr/>
        <w:t xml:space="preserve">Le document </w:t>
      </w:r>
      <w:r>
        <w:rPr>
          <w:rStyle w:val="StrongEmphasis"/>
        </w:rPr>
        <w:t>DOC-REF-02</w:t>
      </w:r>
      <w:r>
        <w:rPr/>
        <w:t>, "Référentiel Sauvegardes et Restauration", documente notre stratégie complète de sauvegarde, incluant les fréquences, les méthodes de chiffrement, les procédures de test et les objectifs de récupération.</w:t>
      </w:r>
    </w:p>
    <w:p>
      <w:pPr>
        <w:pStyle w:val="TextBody"/>
        <w:numPr>
          <w:ilvl w:val="0"/>
          <w:numId w:val="42"/>
        </w:numPr>
        <w:tabs>
          <w:tab w:val="clear" w:pos="708"/>
          <w:tab w:val="left" w:pos="0" w:leader="none"/>
        </w:tabs>
        <w:ind w:left="709" w:hanging="283"/>
        <w:rPr/>
      </w:pPr>
      <w:r>
        <w:rPr/>
        <w:t xml:space="preserve">Le document </w:t>
      </w:r>
      <w:r>
        <w:rPr>
          <w:rStyle w:val="StrongEmphasis"/>
        </w:rPr>
        <w:t>DOC-REF-03</w:t>
      </w:r>
      <w:r>
        <w:rPr/>
        <w:t>, "Référentiel APDP - Mesures Techniques", détaille précisément les mesures de sécurité à appliquer selon la classification des données hébergées, garantissant ainsi notre conformité aux exigences de l'APDP.</w:t>
      </w:r>
    </w:p>
    <w:p>
      <w:pPr>
        <w:pStyle w:val="Heading2"/>
        <w:ind w:left="0" w:hanging="0"/>
        <w:rPr/>
      </w:pPr>
      <w:bookmarkStart w:id="65" w:name="__RefHeading___Toc58030_2150708505"/>
      <w:bookmarkEnd w:id="65"/>
      <w:r>
        <w:rPr/>
        <w:t>Procédures opérationnelles</w:t>
      </w:r>
    </w:p>
    <w:p>
      <w:pPr>
        <w:pStyle w:val="TextBody"/>
        <w:rPr/>
      </w:pPr>
      <w:r>
        <w:rPr/>
        <w:t>Plusieurs procédures formalisent les processus opérationnels critiques pour notre sécurité.</w:t>
      </w:r>
    </w:p>
    <w:p>
      <w:pPr>
        <w:pStyle w:val="TextBody"/>
        <w:numPr>
          <w:ilvl w:val="0"/>
          <w:numId w:val="43"/>
        </w:numPr>
        <w:tabs>
          <w:tab w:val="clear" w:pos="708"/>
          <w:tab w:val="left" w:pos="0" w:leader="none"/>
        </w:tabs>
        <w:ind w:left="709" w:hanging="283"/>
        <w:rPr/>
      </w:pPr>
      <w:r>
        <w:rPr/>
        <w:t xml:space="preserve">La procédure </w:t>
      </w:r>
      <w:r>
        <w:rPr>
          <w:rStyle w:val="StrongEmphasis"/>
        </w:rPr>
        <w:t>PROC-01</w:t>
      </w:r>
      <w:r>
        <w:rPr/>
        <w:t>, "Procédure de Mise en Service Sécurisée", décrit étape par étape comment configurer et valider la sécurité d'un nouveau serveur avant sa mise en production.</w:t>
      </w:r>
    </w:p>
    <w:p>
      <w:pPr>
        <w:pStyle w:val="TextBody"/>
        <w:numPr>
          <w:ilvl w:val="0"/>
          <w:numId w:val="43"/>
        </w:numPr>
        <w:tabs>
          <w:tab w:val="clear" w:pos="708"/>
          <w:tab w:val="left" w:pos="0" w:leader="none"/>
        </w:tabs>
        <w:ind w:left="709" w:hanging="283"/>
        <w:rPr/>
      </w:pPr>
      <w:r>
        <w:rPr/>
        <w:t xml:space="preserve">La procédure </w:t>
      </w:r>
      <w:r>
        <w:rPr>
          <w:rStyle w:val="StrongEmphasis"/>
        </w:rPr>
        <w:t>PROC-02</w:t>
      </w:r>
      <w:r>
        <w:rPr/>
        <w:t>, "Procédure de Gestion des Incidents de Sécurité", guide nos équipes dans la réponse appropriée à tout incident de sécurité, depuis sa détection jusqu'à l'analyse post-incident.</w:t>
      </w:r>
    </w:p>
    <w:p>
      <w:pPr>
        <w:pStyle w:val="TextBody"/>
        <w:numPr>
          <w:ilvl w:val="0"/>
          <w:numId w:val="43"/>
        </w:numPr>
        <w:tabs>
          <w:tab w:val="clear" w:pos="708"/>
          <w:tab w:val="left" w:pos="0" w:leader="none"/>
        </w:tabs>
        <w:ind w:left="709" w:hanging="283"/>
        <w:rPr/>
      </w:pPr>
      <w:r>
        <w:rPr/>
        <w:t xml:space="preserve">La procédure </w:t>
      </w:r>
      <w:r>
        <w:rPr>
          <w:rStyle w:val="StrongEmphasis"/>
        </w:rPr>
        <w:t>PROC-03</w:t>
      </w:r>
      <w:r>
        <w:rPr/>
        <w:t>, "Procédure de Notification APDP", détaille le processus à suivre en cas de violation de données personnelles pour garantir le respect du délai légal de 72 heures de notification.</w:t>
      </w:r>
    </w:p>
    <w:p>
      <w:pPr>
        <w:pStyle w:val="Heading2"/>
        <w:ind w:left="0" w:hanging="0"/>
        <w:rPr/>
      </w:pPr>
      <w:bookmarkStart w:id="66" w:name="__RefHeading___Toc58032_2150708505"/>
      <w:bookmarkEnd w:id="66"/>
      <w:r>
        <w:rPr/>
        <w:t>Documents opérationnels</w:t>
      </w:r>
    </w:p>
    <w:p>
      <w:pPr>
        <w:pStyle w:val="TextBody"/>
        <w:rPr/>
      </w:pPr>
      <w:r>
        <w:rPr/>
        <w:t>Les documents opérationnels sont maintenus à jour au quotidien par nos équipes.</w:t>
      </w:r>
    </w:p>
    <w:p>
      <w:pPr>
        <w:pStyle w:val="TextBody"/>
        <w:numPr>
          <w:ilvl w:val="0"/>
          <w:numId w:val="44"/>
        </w:numPr>
        <w:tabs>
          <w:tab w:val="clear" w:pos="708"/>
          <w:tab w:val="left" w:pos="0" w:leader="none"/>
        </w:tabs>
        <w:ind w:left="709" w:hanging="283"/>
        <w:rPr/>
      </w:pPr>
      <w:r>
        <w:rPr/>
        <w:t xml:space="preserve">Le document </w:t>
      </w:r>
      <w:r>
        <w:rPr>
          <w:rStyle w:val="StrongEmphasis"/>
        </w:rPr>
        <w:t>DOC-OPS-01</w:t>
      </w:r>
      <w:r>
        <w:rPr/>
        <w:t>, "Registre des Serveurs", constitue notre inventaire exhaustif de tous les serveurs, documentant pour chacun ses caractéristiques, sa classification de sécurité et les données qu'il héberge.</w:t>
      </w:r>
    </w:p>
    <w:p>
      <w:pPr>
        <w:pStyle w:val="TextBody"/>
        <w:numPr>
          <w:ilvl w:val="0"/>
          <w:numId w:val="44"/>
        </w:numPr>
        <w:tabs>
          <w:tab w:val="clear" w:pos="708"/>
          <w:tab w:val="left" w:pos="0" w:leader="none"/>
        </w:tabs>
        <w:ind w:left="709" w:hanging="283"/>
        <w:rPr/>
      </w:pPr>
      <w:r>
        <w:rPr/>
        <w:t xml:space="preserve">Le document </w:t>
      </w:r>
      <w:r>
        <w:rPr>
          <w:rStyle w:val="StrongEmphasis"/>
        </w:rPr>
        <w:t>DOC-OPS-02</w:t>
      </w:r>
      <w:r>
        <w:rPr/>
        <w:t>, "Matrice des Accès et des Droits", documente précisément qui a accès à quel serveur, avec quel niveau de privilège, et pour quelle justification. Ce document est essentiel pour garantir le principe du moindre privilège et la traçabilité des accès.</w:t>
      </w:r>
    </w:p>
    <w:p>
      <w:pPr>
        <w:pStyle w:val="Heading2"/>
        <w:ind w:left="0" w:hanging="0"/>
        <w:rPr/>
      </w:pPr>
      <w:bookmarkStart w:id="67" w:name="__RefHeading___Toc58034_2150708505"/>
      <w:bookmarkEnd w:id="67"/>
      <w:r>
        <w:rPr/>
        <w:t>Documents stratégiques</w:t>
      </w:r>
    </w:p>
    <w:p>
      <w:pPr>
        <w:pStyle w:val="TextBody"/>
        <w:rPr/>
      </w:pPr>
      <w:r>
        <w:rPr/>
        <w:t xml:space="preserve">Au niveau stratégique, le document </w:t>
      </w:r>
      <w:r>
        <w:rPr>
          <w:rStyle w:val="StrongEmphasis"/>
        </w:rPr>
        <w:t>DOC-STRAT-02</w:t>
      </w:r>
      <w:r>
        <w:rPr/>
        <w:t>, "Charte de Classification des Données", actuellement en cours de création, définira les critères de classification de nos données et les mesures de protection associées à chaque niveau de sensibilité. Ce document complétera notre cadre de gouvernance de la sécurité.</w:t>
      </w:r>
    </w:p>
    <w:p>
      <w:pPr>
        <w:pStyle w:val="Heading2"/>
        <w:ind w:left="0" w:hanging="0"/>
        <w:rPr/>
      </w:pPr>
      <w:bookmarkStart w:id="68" w:name="__RefHeading___Toc58036_2150708505"/>
      <w:bookmarkEnd w:id="68"/>
      <w:r>
        <w:rPr/>
        <w:t>Documents de conformité</w:t>
      </w:r>
    </w:p>
    <w:p>
      <w:pPr>
        <w:pStyle w:val="TextBody"/>
        <w:rPr/>
      </w:pPr>
      <w:r>
        <w:rPr/>
        <w:t>Les documents de conformité assurent notre respect des obligations légales.</w:t>
      </w:r>
    </w:p>
    <w:p>
      <w:pPr>
        <w:pStyle w:val="TextBody"/>
        <w:numPr>
          <w:ilvl w:val="0"/>
          <w:numId w:val="45"/>
        </w:numPr>
        <w:tabs>
          <w:tab w:val="clear" w:pos="708"/>
          <w:tab w:val="left" w:pos="0" w:leader="none"/>
        </w:tabs>
        <w:ind w:left="709" w:hanging="283"/>
        <w:rPr/>
      </w:pPr>
      <w:r>
        <w:rPr/>
        <w:t xml:space="preserve">Le document </w:t>
      </w:r>
      <w:r>
        <w:rPr>
          <w:rStyle w:val="StrongEmphasis"/>
        </w:rPr>
        <w:t>DOC-CONF-01</w:t>
      </w:r>
      <w:r>
        <w:rPr/>
        <w:t>, "Registre des Traitements APDP", inventorie tous nos traitements de données personnelles comme l'exige la loi. Ce registre doit être maintenu à jour et peut être demandé à tout moment par l'APDP.</w:t>
      </w:r>
    </w:p>
    <w:p>
      <w:pPr>
        <w:pStyle w:val="TextBody"/>
        <w:numPr>
          <w:ilvl w:val="0"/>
          <w:numId w:val="45"/>
        </w:numPr>
        <w:tabs>
          <w:tab w:val="clear" w:pos="708"/>
          <w:tab w:val="left" w:pos="0" w:leader="none"/>
        </w:tabs>
        <w:ind w:left="709" w:hanging="283"/>
        <w:rPr/>
      </w:pPr>
      <w:r>
        <w:rPr/>
        <w:t xml:space="preserve">Le document </w:t>
      </w:r>
      <w:r>
        <w:rPr>
          <w:rStyle w:val="StrongEmphasis"/>
        </w:rPr>
        <w:t>DOC-CONF-02</w:t>
      </w:r>
      <w:r>
        <w:rPr/>
        <w:t xml:space="preserve"> regroupe nos Analyses d'Impact relatives à la Protection des Données (AIPD), qui sont obligatoires pour les traitements présentant des risques élevés pour les droits et libertés des personnes. Ces analyses documentent les risques identifiés et les mesures mises en œuvre pour les atténuer.</w:t>
      </w:r>
    </w:p>
    <w:p>
      <w:pPr>
        <w:pStyle w:val="Heading1"/>
        <w:ind w:left="0" w:hanging="0"/>
        <w:rPr/>
      </w:pPr>
      <w:bookmarkStart w:id="69" w:name="__RefHeading___Toc58038_2150708505"/>
      <w:bookmarkEnd w:id="69"/>
      <w:r>
        <w:rPr/>
        <w:t>CONTACTS</w:t>
      </w:r>
    </w:p>
    <w:p>
      <w:pPr>
        <w:pStyle w:val="Heading2"/>
        <w:ind w:left="0" w:hanging="0"/>
        <w:rPr/>
      </w:pPr>
      <w:bookmarkStart w:id="70" w:name="__RefHeading___Toc58040_2150708505"/>
      <w:bookmarkEnd w:id="70"/>
      <w:r>
        <w:rPr/>
        <w:t>Contacts internes</w:t>
      </w:r>
    </w:p>
    <w:p>
      <w:pPr>
        <w:pStyle w:val="TextBody"/>
        <w:rPr/>
      </w:pPr>
      <w:r>
        <w:rPr/>
        <w:t>Pour toute question relative à la sécurité des serveurs ou à l'application de cette politique, plusieurs personnes ressources sont identifiées au sein de l'entreprise.</w:t>
      </w:r>
    </w:p>
    <w:p>
      <w:pPr>
        <w:pStyle w:val="TextBody"/>
        <w:numPr>
          <w:ilvl w:val="0"/>
          <w:numId w:val="46"/>
        </w:numPr>
        <w:tabs>
          <w:tab w:val="clear" w:pos="708"/>
          <w:tab w:val="left" w:pos="0" w:leader="none"/>
        </w:tabs>
        <w:ind w:left="709" w:hanging="283"/>
        <w:rPr/>
      </w:pPr>
      <w:r>
        <w:rPr/>
        <w:t>Le Responsable Services Internes dont les coordonnées sont [Votre Nom], joignable par email à [Email] et par téléphone au [Téléphone], est le contact principal pour toutes les questions techniques et opérationnelles de sécurité. Il coordonne la mise en œuvre de cette politique et gère les incidents de sécurité.</w:t>
      </w:r>
    </w:p>
    <w:p>
      <w:pPr>
        <w:pStyle w:val="TextBody"/>
        <w:numPr>
          <w:ilvl w:val="0"/>
          <w:numId w:val="46"/>
        </w:numPr>
        <w:tabs>
          <w:tab w:val="clear" w:pos="708"/>
          <w:tab w:val="left" w:pos="0" w:leader="none"/>
        </w:tabs>
        <w:ind w:left="709" w:hanging="283"/>
        <w:rPr/>
      </w:pPr>
      <w:r>
        <w:rPr/>
        <w:t>La Direction Générale, [Nom], joignable à [Email], doit être contactée pour toute décision stratégique relative à la sécurité, tout incident majeur, ou toute question nécessitant une validation au plus haut niveau.</w:t>
      </w:r>
    </w:p>
    <w:p>
      <w:pPr>
        <w:pStyle w:val="Heading2"/>
        <w:ind w:left="0" w:hanging="0"/>
        <w:rPr/>
      </w:pPr>
      <w:bookmarkStart w:id="71" w:name="__RefHeading___Toc58042_2150708505"/>
      <w:bookmarkEnd w:id="71"/>
      <w:r>
        <w:rPr/>
        <w:t>Contacts externes</w:t>
      </w:r>
    </w:p>
    <w:p>
      <w:pPr>
        <w:pStyle w:val="TextBody"/>
        <w:rPr/>
      </w:pPr>
      <w:r>
        <w:rPr/>
        <w:t>Plusieurs organismes externes constituent nos points de contact pour les questions de conformité et de support technique.</w:t>
      </w:r>
    </w:p>
    <w:p>
      <w:pPr>
        <w:pStyle w:val="TextBody"/>
        <w:numPr>
          <w:ilvl w:val="0"/>
          <w:numId w:val="47"/>
        </w:numPr>
        <w:tabs>
          <w:tab w:val="clear" w:pos="708"/>
          <w:tab w:val="left" w:pos="0" w:leader="none"/>
        </w:tabs>
        <w:ind w:left="709" w:hanging="283"/>
        <w:rPr/>
      </w:pPr>
      <w:r>
        <w:rPr/>
        <w:t xml:space="preserve">L'APDP Bénin, notre autorité de contrôle en matière de protection des données personnelles, peut être contactée par email à </w:t>
      </w:r>
      <w:hyperlink r:id="rId5" w:tgtFrame="_blank">
        <w:r>
          <w:rPr>
            <w:rStyle w:val="InternetLink"/>
          </w:rPr>
          <w:t>contact@apdp.bj</w:t>
        </w:r>
      </w:hyperlink>
      <w:r>
        <w:rPr/>
        <w:t xml:space="preserve"> et via son site web </w:t>
      </w:r>
      <w:hyperlink r:id="rId6" w:tgtFrame="_blank">
        <w:r>
          <w:rPr>
            <w:rStyle w:val="InternetLink"/>
          </w:rPr>
          <w:t>https://apdp.bj</w:t>
        </w:r>
      </w:hyperlink>
      <w:r>
        <w:rPr/>
        <w:t>. Nous devons la contacter en cas de violation de données personnelles, pour des conseils sur la conformité, ou si nous recevons une plainte relative à notre traitement de données.</w:t>
      </w:r>
    </w:p>
    <w:p>
      <w:pPr>
        <w:pStyle w:val="TextBody"/>
        <w:numPr>
          <w:ilvl w:val="0"/>
          <w:numId w:val="47"/>
        </w:numPr>
        <w:tabs>
          <w:tab w:val="clear" w:pos="708"/>
          <w:tab w:val="left" w:pos="0" w:leader="none"/>
        </w:tabs>
        <w:ind w:left="709" w:hanging="283"/>
        <w:rPr/>
      </w:pPr>
      <w:r>
        <w:rPr/>
        <w:t xml:space="preserve">Pour toute question technique relative à notre infrastructure hébergée, le support OVH est accessible via l'interface de gestion </w:t>
      </w:r>
      <w:hyperlink r:id="rId7" w:tgtFrame="_blank">
        <w:r>
          <w:rPr>
            <w:rStyle w:val="InternetLink"/>
          </w:rPr>
          <w:t>https://www.ovh.com/manager/</w:t>
        </w:r>
      </w:hyperlink>
      <w:r>
        <w:rPr/>
        <w:t xml:space="preserve"> où nous pouvons créer des tickets de support. Ce canal nous permet d'obtenir de l'aide sur les aspects techniques de notre hébergement, les problèmes d'infrastructure, ou les questions relatives aux services OVH que nous utilisons.</w:t>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
    </w:p>
    <w:sectPr>
      <w:headerReference w:type="default" r:id="rId8"/>
      <w:footerReference w:type="default" r:id="rId9"/>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Calibri Ligh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240" w:after="0"/>
      <w:rPr/>
    </w:pPr>
    <w:r>
      <w:rPr/>
      <w:drawing>
        <wp:anchor behindDoc="1" distT="0" distB="0" distL="0" distR="0" simplePos="0" locked="0" layoutInCell="0" allowOverlap="1" relativeHeight="51">
          <wp:simplePos x="0" y="0"/>
          <wp:positionH relativeFrom="page">
            <wp:align>left</wp:align>
          </wp:positionH>
          <wp:positionV relativeFrom="paragraph">
            <wp:posOffset>-68580</wp:posOffset>
          </wp:positionV>
          <wp:extent cx="7359015" cy="590550"/>
          <wp:effectExtent l="0" t="0" r="0" b="0"/>
          <wp:wrapNone/>
          <wp:docPr id="4"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240" w:after="0"/>
      <w:rPr/>
    </w:pPr>
    <w:r>
      <w:rPr/>
      <w:drawing>
        <wp:anchor behindDoc="1" distT="0" distB="0" distL="0" distR="0" simplePos="0" locked="0" layoutInCell="0" allowOverlap="1" relativeHeight="26">
          <wp:simplePos x="0" y="0"/>
          <wp:positionH relativeFrom="page">
            <wp:posOffset>218440</wp:posOffset>
          </wp:positionH>
          <wp:positionV relativeFrom="paragraph">
            <wp:posOffset>-217170</wp:posOffset>
          </wp:positionV>
          <wp:extent cx="7080885" cy="450215"/>
          <wp:effectExtent l="0" t="0" r="0" b="0"/>
          <wp:wrapNone/>
          <wp:docPr id="3"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18">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9">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240" w:after="240"/>
      <w:jc w:val="both"/>
    </w:pPr>
    <w:rPr>
      <w:rFonts w:ascii="Times New Roman" w:hAnsi="Times New Roman" w:eastAsia="Calibri" w:cs="DejaVu Sans"/>
      <w:color w:val="auto"/>
      <w:kern w:val="0"/>
      <w:sz w:val="24"/>
      <w:szCs w:val="32"/>
      <w:lang w:val="fr-FR" w:eastAsia="en-US" w:bidi="ar-SA"/>
    </w:rPr>
  </w:style>
  <w:style w:type="paragraph" w:styleId="Heading1">
    <w:name w:val="Heading 1"/>
    <w:basedOn w:val="Normal"/>
    <w:next w:val="Normal"/>
    <w:link w:val="Titre1Car"/>
    <w:qFormat/>
    <w:pPr>
      <w:keepNext w:val="true"/>
      <w:keepLines/>
      <w:numPr>
        <w:ilvl w:val="0"/>
        <w:numId w:val="0"/>
      </w:numPr>
      <w:outlineLvl w:val="0"/>
    </w:pPr>
    <w:rPr>
      <w:rFonts w:eastAsia="Calibri" w:cs="DejaVu Sans"/>
      <w:b/>
      <w:caps/>
      <w:color w:val="014276"/>
      <w:sz w:val="32"/>
      <w:u w:val="single"/>
    </w:rPr>
  </w:style>
  <w:style w:type="paragraph" w:styleId="Heading2">
    <w:name w:val="Heading 2"/>
    <w:basedOn w:val="Normal"/>
    <w:next w:val="Normal"/>
    <w:link w:val="Titre2Car"/>
    <w:qFormat/>
    <w:pPr>
      <w:keepNext w:val="true"/>
      <w:keepLines/>
      <w:numPr>
        <w:ilvl w:val="0"/>
        <w:numId w:val="0"/>
      </w:numPr>
      <w:outlineLvl w:val="1"/>
    </w:pPr>
    <w:rPr>
      <w:rFonts w:eastAsia="Calibri" w:cs="DejaVu Sans"/>
      <w:b/>
      <w:color w:val="0072CE"/>
      <w:sz w:val="28"/>
      <w:szCs w:val="26"/>
    </w:rPr>
  </w:style>
  <w:style w:type="paragraph" w:styleId="Heading3">
    <w:name w:val="Heading 3"/>
    <w:basedOn w:val="Normal"/>
    <w:next w:val="Normal"/>
    <w:link w:val="Titre3Car"/>
    <w:qFormat/>
    <w:pPr>
      <w:keepNext w:val="true"/>
      <w:keepLines/>
      <w:numPr>
        <w:ilvl w:val="0"/>
        <w:numId w:val="0"/>
      </w:numPr>
      <w:spacing w:before="40" w:after="0"/>
      <w:outlineLvl w:val="2"/>
    </w:pPr>
    <w:rPr>
      <w:rFonts w:eastAsia="Calibri" w:cs="DejaVu Sans"/>
      <w:b/>
      <w:szCs w:val="24"/>
    </w:rPr>
  </w:style>
  <w:style w:type="paragraph" w:styleId="Heading4">
    <w:name w:val="Heading 4"/>
    <w:link w:val="Titre4Car"/>
    <w:qFormat/>
    <w:pPr>
      <w:widowControl/>
      <w:numPr>
        <w:ilvl w:val="0"/>
        <w:numId w:val="0"/>
      </w:numPr>
      <w:suppressAutoHyphens w:val="true"/>
      <w:overflowPunct w:val="true"/>
      <w:bidi w:val="0"/>
      <w:spacing w:lineRule="auto" w:line="240" w:before="0" w:after="0"/>
      <w:jc w:val="left"/>
      <w:outlineLvl w:val="3"/>
    </w:pPr>
    <w:rPr>
      <w:rFonts w:ascii="Arial" w:hAnsi="Arial" w:eastAsia="Arial" w:cs="Arial"/>
      <w:i/>
      <w:iCs/>
      <w:color w:val="2E74B5"/>
      <w:kern w:val="0"/>
      <w:sz w:val="22"/>
      <w:szCs w:val="22"/>
      <w:lang w:val="fr-FR" w:eastAsia="fr-FR" w:bidi="ar-SA"/>
    </w:rPr>
  </w:style>
  <w:style w:type="paragraph" w:styleId="Heading5">
    <w:name w:val="Heading 5"/>
    <w:link w:val="Titre5Car"/>
    <w:qFormat/>
    <w:pPr>
      <w:widowControl/>
      <w:numPr>
        <w:ilvl w:val="0"/>
        <w:numId w:val="0"/>
      </w:numPr>
      <w:suppressAutoHyphens w:val="true"/>
      <w:overflowPunct w:val="true"/>
      <w:bidi w:val="0"/>
      <w:spacing w:lineRule="auto" w:line="240" w:before="0" w:after="0"/>
      <w:jc w:val="left"/>
      <w:outlineLvl w:val="4"/>
    </w:pPr>
    <w:rPr>
      <w:rFonts w:ascii="Arial" w:hAnsi="Arial" w:eastAsia="Arial" w:cs="Arial"/>
      <w:color w:val="2E74B5"/>
      <w:kern w:val="0"/>
      <w:sz w:val="22"/>
      <w:szCs w:val="22"/>
      <w:lang w:val="fr-FR" w:eastAsia="fr-FR" w:bidi="ar-SA"/>
    </w:rPr>
  </w:style>
  <w:style w:type="paragraph" w:styleId="Heading6">
    <w:name w:val="Heading 6"/>
    <w:link w:val="Titre6Car"/>
    <w:qFormat/>
    <w:pPr>
      <w:widowControl/>
      <w:numPr>
        <w:ilvl w:val="0"/>
        <w:numId w:val="0"/>
      </w:numPr>
      <w:suppressAutoHyphens w:val="true"/>
      <w:overflowPunct w:val="true"/>
      <w:bidi w:val="0"/>
      <w:spacing w:lineRule="auto" w:line="240" w:before="0" w:after="0"/>
      <w:jc w:val="left"/>
      <w:outlineLvl w:val="5"/>
    </w:pPr>
    <w:rPr>
      <w:rFonts w:ascii="Arial" w:hAnsi="Arial" w:eastAsia="Arial" w:cs="Arial"/>
      <w:color w:val="1F4D78"/>
      <w:kern w:val="0"/>
      <w:sz w:val="22"/>
      <w:szCs w:val="22"/>
      <w:lang w:val="fr-FR" w:eastAsia="fr-FR" w:bidi="ar-SA"/>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Titre1Car">
    <w:name w:val="Titre 1 Car"/>
    <w:basedOn w:val="DefaultParagraphFont"/>
    <w:link w:val="Heading1"/>
    <w:qFormat/>
    <w:rPr>
      <w:rFonts w:ascii="Times New Roman" w:hAnsi="Times New Roman" w:eastAsia="Calibri" w:cs="DejaVu Sans"/>
      <w:b/>
      <w:caps/>
      <w:color w:val="014276"/>
      <w:u w:val="single"/>
    </w:rPr>
  </w:style>
  <w:style w:type="character" w:styleId="Titre2Car">
    <w:name w:val="Titre 2 Car"/>
    <w:basedOn w:val="DefaultParagraphFont"/>
    <w:link w:val="Heading2"/>
    <w:qFormat/>
    <w:rPr>
      <w:rFonts w:ascii="Times New Roman" w:hAnsi="Times New Roman" w:eastAsia="Calibri" w:cs="DejaVu Sans"/>
      <w:b/>
      <w:color w:val="0072CE"/>
      <w:sz w:val="28"/>
      <w:szCs w:val="26"/>
    </w:rPr>
  </w:style>
  <w:style w:type="character" w:styleId="TitreCar">
    <w:name w:val="Titre Car"/>
    <w:basedOn w:val="DefaultParagraphFont"/>
    <w:link w:val="Title"/>
    <w:qFormat/>
    <w:rPr>
      <w:rFonts w:ascii="Times New Roman" w:hAnsi="Times New Roman" w:eastAsia="Calibri" w:cs="DejaVu Sans"/>
      <w:b/>
      <w:spacing w:val="-10"/>
      <w:kern w:val="2"/>
      <w:sz w:val="56"/>
      <w:szCs w:val="56"/>
      <w:u w:val="single"/>
    </w:rPr>
  </w:style>
  <w:style w:type="character" w:styleId="Titre3Car">
    <w:name w:val="Titre 3 Car"/>
    <w:basedOn w:val="DefaultParagraphFont"/>
    <w:link w:val="Heading3"/>
    <w:qFormat/>
    <w:rPr>
      <w:rFonts w:ascii="Times New Roman" w:hAnsi="Times New Roman" w:eastAsia="Calibri" w:cs="DejaVu Sans"/>
      <w:b/>
      <w:sz w:val="24"/>
      <w:szCs w:val="24"/>
    </w:rPr>
  </w:style>
  <w:style w:type="character" w:styleId="Titre4Car">
    <w:name w:val="Titre 4 Car"/>
    <w:basedOn w:val="DefaultParagraphFont"/>
    <w:link w:val="Heading4"/>
    <w:qFormat/>
    <w:rPr>
      <w:rFonts w:ascii="Arial" w:hAnsi="Arial" w:eastAsia="Arial" w:cs="Arial"/>
      <w:i/>
      <w:iCs/>
      <w:color w:val="2E74B5"/>
      <w:sz w:val="22"/>
      <w:szCs w:val="22"/>
      <w:lang w:eastAsia="fr-FR"/>
    </w:rPr>
  </w:style>
  <w:style w:type="character" w:styleId="Titre5Car">
    <w:name w:val="Titre 5 Car"/>
    <w:basedOn w:val="DefaultParagraphFont"/>
    <w:link w:val="Heading5"/>
    <w:qFormat/>
    <w:rPr>
      <w:rFonts w:ascii="Arial" w:hAnsi="Arial" w:eastAsia="Arial" w:cs="Arial"/>
      <w:color w:val="2E74B5"/>
      <w:sz w:val="22"/>
      <w:szCs w:val="22"/>
      <w:lang w:eastAsia="fr-FR"/>
    </w:rPr>
  </w:style>
  <w:style w:type="character" w:styleId="Titre6Car">
    <w:name w:val="Titre 6 Car"/>
    <w:basedOn w:val="DefaultParagraphFont"/>
    <w:link w:val="Heading6"/>
    <w:qFormat/>
    <w:rPr>
      <w:rFonts w:ascii="Arial" w:hAnsi="Arial" w:eastAsia="Arial" w:cs="Arial"/>
      <w:color w:val="1F4D78"/>
      <w:sz w:val="22"/>
      <w:szCs w:val="22"/>
      <w:lang w:eastAsia="fr-FR"/>
    </w:rPr>
  </w:style>
  <w:style w:type="character" w:styleId="InternetLink">
    <w:name w:val="Hyperlink"/>
    <w:rPr>
      <w:color w:val="0563C1"/>
      <w:u w:val="singl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NotedebasdepageCar">
    <w:name w:val="Note de bas de page Car"/>
    <w:basedOn w:val="DefaultParagraphFont"/>
    <w:link w:val="Footnote"/>
    <w:qFormat/>
    <w:rPr>
      <w:rFonts w:ascii="Arial" w:hAnsi="Arial" w:eastAsia="Arial" w:cs="Arial"/>
      <w:sz w:val="20"/>
      <w:szCs w:val="20"/>
      <w:lang w:eastAsia="fr-FR"/>
    </w:rPr>
  </w:style>
  <w:style w:type="character" w:styleId="UnresolvedMention">
    <w:name w:val="Unresolved Mention"/>
    <w:basedOn w:val="DefaultParagraphFont"/>
    <w:qFormat/>
    <w:rPr>
      <w:color w:val="605E5C"/>
      <w:shd w:fill="E1DFDD" w:val="clear"/>
    </w:rPr>
  </w:style>
  <w:style w:type="character" w:styleId="StrongEmphasis">
    <w:name w:val="Strong Emphasis"/>
    <w:qFormat/>
    <w:rPr>
      <w:b/>
      <w:bCs/>
    </w:rPr>
  </w:style>
  <w:style w:type="character" w:styleId="Bullets">
    <w:name w:val="Bullets"/>
    <w:qFormat/>
    <w:rPr>
      <w:rFonts w:ascii="OpenSymbol" w:hAnsi="OpenSymbol" w:eastAsia="OpenSymbol" w:cs="OpenSymbol"/>
      <w:color w:val="2DA333"/>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240" w:after="0"/>
    </w:pPr>
    <w:rPr/>
  </w:style>
  <w:style w:type="paragraph" w:styleId="Footer">
    <w:name w:val="Footer"/>
    <w:basedOn w:val="Normal"/>
    <w:link w:val="PieddepageCar"/>
    <w:pPr>
      <w:tabs>
        <w:tab w:val="clear" w:pos="708"/>
        <w:tab w:val="center" w:pos="4536" w:leader="none"/>
        <w:tab w:val="right" w:pos="9072" w:leader="none"/>
      </w:tabs>
      <w:spacing w:lineRule="auto" w:line="240" w:before="240" w:after="0"/>
    </w:pPr>
    <w:rPr/>
  </w:style>
  <w:style w:type="paragraph" w:styleId="Title">
    <w:name w:val="Title"/>
    <w:basedOn w:val="Normal"/>
    <w:next w:val="Normal"/>
    <w:link w:val="TitreCar"/>
    <w:qFormat/>
    <w:pPr>
      <w:spacing w:lineRule="auto" w:line="240" w:before="240" w:after="0"/>
      <w:contextualSpacing/>
      <w:jc w:val="center"/>
    </w:pPr>
    <w:rPr>
      <w:rFonts w:eastAsia="Calibri" w:cs="DejaVu Sans"/>
      <w:b/>
      <w:spacing w:val="-10"/>
      <w:kern w:val="2"/>
      <w:sz w:val="56"/>
      <w:szCs w:val="56"/>
      <w:u w:val="single"/>
    </w:rPr>
  </w:style>
  <w:style w:type="paragraph" w:styleId="Lev1">
    <w:name w:val="Élevé1"/>
    <w:qFormat/>
    <w:pPr>
      <w:widowControl/>
      <w:suppressAutoHyphens w:val="true"/>
      <w:overflowPunct w:val="true"/>
      <w:bidi w:val="0"/>
      <w:spacing w:lineRule="auto" w:line="240" w:before="0" w:after="0"/>
      <w:jc w:val="left"/>
    </w:pPr>
    <w:rPr>
      <w:rFonts w:ascii="Arial" w:hAnsi="Arial" w:eastAsia="Arial" w:cs="Arial"/>
      <w:b/>
      <w:bCs/>
      <w:color w:val="auto"/>
      <w:kern w:val="0"/>
      <w:sz w:val="22"/>
      <w:szCs w:val="22"/>
      <w:lang w:val="fr-FR" w:eastAsia="fr-FR" w:bidi="ar-SA"/>
    </w:rPr>
  </w:style>
  <w:style w:type="paragraph" w:styleId="ListParagraph">
    <w:name w:val="List Paragraph"/>
    <w:qFormat/>
    <w:pPr>
      <w:widowControl/>
      <w:suppressAutoHyphens w:val="true"/>
      <w:overflowPunct w:val="true"/>
      <w:bidi w:val="0"/>
      <w:spacing w:lineRule="auto" w:line="240" w:before="120" w:after="240"/>
      <w:jc w:val="both"/>
    </w:pPr>
    <w:rPr>
      <w:rFonts w:ascii="Times New Roman" w:hAnsi="Times New Roman" w:eastAsia="Arial" w:cs="Arial"/>
      <w:color w:val="auto"/>
      <w:kern w:val="0"/>
      <w:sz w:val="24"/>
      <w:szCs w:val="22"/>
      <w:lang w:val="fr-FR" w:eastAsia="fr-FR" w:bidi="ar-SA"/>
    </w:rPr>
  </w:style>
  <w:style w:type="paragraph" w:styleId="Footnote">
    <w:name w:val="Footnote Text"/>
    <w:link w:val="NotedebasdepageCar"/>
    <w:pPr>
      <w:widowControl/>
      <w:suppressAutoHyphens w:val="true"/>
      <w:overflowPunct w:val="true"/>
      <w:bidi w:val="0"/>
      <w:spacing w:lineRule="auto" w:line="240" w:before="0" w:after="0"/>
      <w:jc w:val="left"/>
    </w:pPr>
    <w:rPr>
      <w:rFonts w:ascii="Arial" w:hAnsi="Arial" w:eastAsia="Arial" w:cs="Arial"/>
      <w:color w:val="auto"/>
      <w:kern w:val="0"/>
      <w:sz w:val="20"/>
      <w:szCs w:val="20"/>
      <w:lang w:val="fr-FR" w:eastAsia="fr-FR" w:bidi="ar-SA"/>
    </w:rPr>
  </w:style>
  <w:style w:type="paragraph" w:styleId="Contents1">
    <w:name w:val="TOC 1"/>
    <w:basedOn w:val="Normal"/>
    <w:next w:val="Normal"/>
    <w:autoRedefine/>
    <w:pPr>
      <w:tabs>
        <w:tab w:val="clear" w:pos="708"/>
        <w:tab w:val="right" w:pos="9376" w:leader="dot"/>
      </w:tabs>
      <w:spacing w:lineRule="auto" w:line="240" w:before="240" w:after="100"/>
    </w:pPr>
    <w:rPr>
      <w:rFonts w:eastAsia="Arial" w:cs="Arial"/>
      <w:szCs w:val="22"/>
      <w:lang w:eastAsia="fr-FR"/>
    </w:rPr>
  </w:style>
  <w:style w:type="paragraph" w:styleId="Contents2">
    <w:name w:val="TOC 2"/>
    <w:basedOn w:val="Normal"/>
    <w:next w:val="Normal"/>
    <w:autoRedefine/>
    <w:pPr>
      <w:tabs>
        <w:tab w:val="clear" w:pos="708"/>
        <w:tab w:val="right" w:pos="9062" w:leader="dot"/>
      </w:tabs>
      <w:spacing w:lineRule="auto" w:line="240" w:before="240" w:after="100"/>
      <w:ind w:left="220" w:right="0" w:hanging="0"/>
    </w:pPr>
    <w:rPr>
      <w:rFonts w:eastAsia="Arial" w:cs="Arial"/>
      <w:szCs w:val="22"/>
      <w:lang w:eastAsia="fr-FR"/>
    </w:rPr>
  </w:style>
  <w:style w:type="paragraph" w:styleId="NoSpacing">
    <w:name w:val="No Spacing"/>
    <w:qFormat/>
    <w:pPr>
      <w:widowControl/>
      <w:suppressAutoHyphens w:val="true"/>
      <w:overflowPunct w:val="true"/>
      <w:bidi w:val="0"/>
      <w:spacing w:lineRule="auto" w:line="240" w:before="0" w:after="0"/>
      <w:jc w:val="both"/>
    </w:pPr>
    <w:rPr>
      <w:rFonts w:ascii="Times New Roman" w:hAnsi="Times New Roman" w:eastAsia="Arial" w:cs="Arial"/>
      <w:color w:val="auto"/>
      <w:kern w:val="0"/>
      <w:sz w:val="24"/>
      <w:szCs w:val="22"/>
      <w:lang w:val="fr-FR" w:eastAsia="fr-FR" w:bidi="ar-SA"/>
    </w:rPr>
  </w:style>
  <w:style w:type="paragraph" w:styleId="IndexHeading">
    <w:name w:val="Index Heading"/>
    <w:basedOn w:val="Heading"/>
    <w:pPr/>
    <w:rPr/>
  </w:style>
  <w:style w:type="paragraph" w:styleId="ContentsHeading">
    <w:name w:val="TOC Heading"/>
    <w:basedOn w:val="Heading1"/>
    <w:next w:val="Normal"/>
    <w:pPr>
      <w:spacing w:lineRule="auto" w:line="259" w:before="240" w:after="0"/>
      <w:jc w:val="left"/>
      <w:outlineLvl w:val="9"/>
    </w:pPr>
    <w:rPr>
      <w:rFonts w:ascii="Calibri Light" w:hAnsi="Calibri Light"/>
      <w:b w:val="false"/>
      <w:caps w:val="false"/>
      <w:smallCaps w:val="false"/>
      <w:color w:val="2F5496"/>
      <w:u w:val="none"/>
      <w:lang w:eastAsia="fr-F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240" w:after="0"/>
    </w:pPr>
    <w:rPr>
      <w:rFonts w:ascii="Liberation Mono" w:hAnsi="Liberation Mono" w:eastAsia="Liberation Mono" w:cs="Liberation Mono"/>
      <w:sz w:val="20"/>
      <w:szCs w:val="20"/>
    </w:rPr>
  </w:style>
  <w:style w:type="paragraph" w:styleId="Contents3">
    <w:name w:val="TOC 3"/>
    <w:basedOn w:val="Index"/>
    <w:pPr>
      <w:tabs>
        <w:tab w:val="clear" w:pos="708"/>
        <w:tab w:val="right" w:pos="8505" w:leader="dot"/>
      </w:tabs>
      <w:ind w:left="567" w:right="0" w:hanging="0"/>
    </w:pPr>
    <w:rPr/>
  </w:style>
  <w:style w:type="paragraph" w:styleId="Contents4">
    <w:name w:val="TOC 4"/>
    <w:basedOn w:val="Index"/>
    <w:pPr>
      <w:tabs>
        <w:tab w:val="clear" w:pos="708"/>
        <w:tab w:val="right" w:pos="8222" w:leader="dot"/>
      </w:tabs>
      <w:ind w:left="850" w:right="0" w:hanging="0"/>
    </w:pPr>
    <w:rPr/>
  </w:style>
  <w:style w:type="paragraph" w:styleId="HorizontalLine">
    <w:name w:val="Horizontal Line"/>
    <w:basedOn w:val="Normal"/>
    <w:next w:val="TextBody"/>
    <w:qFormat/>
    <w:pPr>
      <w:suppressLineNumbers/>
      <w:pBdr>
        <w:bottom w:val="double" w:sz="2" w:space="0" w:color="808080"/>
      </w:pBdr>
      <w:spacing w:before="24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ntact@apdp.bj" TargetMode="External"/><Relationship Id="rId3" Type="http://schemas.openxmlformats.org/officeDocument/2006/relationships/hyperlink" Target="https://apdp.bj/" TargetMode="External"/><Relationship Id="rId4" Type="http://schemas.openxmlformats.org/officeDocument/2006/relationships/hyperlink" Target="https://ubuntu.com/security" TargetMode="External"/><Relationship Id="rId5" Type="http://schemas.openxmlformats.org/officeDocument/2006/relationships/hyperlink" Target="mailto:contact@apdp.bj" TargetMode="External"/><Relationship Id="rId6" Type="http://schemas.openxmlformats.org/officeDocument/2006/relationships/hyperlink" Target="https://apdp.bj/" TargetMode="External"/><Relationship Id="rId7" Type="http://schemas.openxmlformats.org/officeDocument/2006/relationships/hyperlink" Target="https://www.ovh.com/manager/"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223</TotalTime>
  <Application>LibreOffice/7.3.7.2$Linux_X86_64 LibreOffice_project/30$Build-2</Application>
  <AppVersion>15.0000</AppVersion>
  <Pages>25</Pages>
  <Words>6166</Words>
  <Characters>36904</Characters>
  <CharactersWithSpaces>42502</CharactersWithSpaces>
  <Paragraphs>401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2026-04-09T16:11:54Z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