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A00BE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Voici une analyse des </w:t>
      </w: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attaques sophistiquées ciblant l'authentification PKI</w:t>
      </w:r>
      <w:r w:rsidRPr="00065784">
        <w:rPr>
          <w:rFonts w:eastAsia="Times New Roman" w:cs="Segoe UI"/>
          <w:kern w:val="0"/>
          <w:lang/>
          <w14:ligatures w14:val="none"/>
        </w:rPr>
        <w:t>, leurs mécanismes et contre-mesures, basée sur les recherches récentes :</w:t>
      </w:r>
    </w:p>
    <w:p w14:paraId="185B73FC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0C15AB9E">
          <v:rect id="_x0000_i1025" style="width:0;height:.75pt" o:hralign="center" o:hrstd="t" o:hr="t" fillcolor="#a0a0a0" stroked="f"/>
        </w:pict>
      </w:r>
    </w:p>
    <w:p w14:paraId="077D40E0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1. Compromission des clés privées par attaques ciblées</w:t>
      </w:r>
    </w:p>
    <w:p w14:paraId="6B2E78EF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Mécanismes avancés :</w:t>
      </w:r>
    </w:p>
    <w:p w14:paraId="70E2656D" w14:textId="77777777" w:rsidR="00065784" w:rsidRPr="00065784" w:rsidRDefault="00065784" w:rsidP="0006578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Exfiltration via side-channels</w:t>
      </w:r>
      <w:r w:rsidRPr="00065784">
        <w:rPr>
          <w:rFonts w:eastAsia="Times New Roman" w:cs="Segoe UI"/>
          <w:kern w:val="0"/>
          <w:lang/>
          <w14:ligatures w14:val="none"/>
        </w:rPr>
        <w:t> : Extraction de clés via l'analyse des fuites électromagnétiques ou temporelles lors des opérations cryptographiques </w:t>
      </w:r>
      <w:hyperlink r:id="rId5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6</w:t>
        </w:r>
      </w:hyperlink>
      <w:hyperlink r:id="rId6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7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385A0980" w14:textId="77777777" w:rsidR="00065784" w:rsidRPr="00065784" w:rsidRDefault="00065784" w:rsidP="0006578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Attaques post-quantiques</w:t>
      </w:r>
      <w:r w:rsidRPr="00065784">
        <w:rPr>
          <w:rFonts w:eastAsia="Times New Roman" w:cs="Segoe UI"/>
          <w:kern w:val="0"/>
          <w:lang/>
          <w14:ligatures w14:val="none"/>
        </w:rPr>
        <w:t> : Utilisation d'algorithmes hybrides pour cracker les clés RSA/ECC stockées dans des HSMs non préparés </w:t>
      </w:r>
      <w:hyperlink r:id="rId7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1</w:t>
        </w:r>
      </w:hyperlink>
      <w:hyperlink r:id="rId8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4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712B3390" w14:textId="77777777" w:rsidR="00065784" w:rsidRPr="00065784" w:rsidRDefault="00065784" w:rsidP="00065784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Certificats fantômes</w:t>
      </w:r>
      <w:r w:rsidRPr="00065784">
        <w:rPr>
          <w:rFonts w:eastAsia="Times New Roman" w:cs="Segoe UI"/>
          <w:kern w:val="0"/>
          <w:lang/>
          <w14:ligatures w14:val="none"/>
        </w:rPr>
        <w:t> : Génération de faux certificats en exploitant les vulnérabilités des CSPRNG (Generators de nombres aléatoires) </w:t>
      </w:r>
      <w:hyperlink r:id="rId9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216600C5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Conséquences</w:t>
      </w:r>
      <w:r w:rsidRPr="00065784">
        <w:rPr>
          <w:rFonts w:eastAsia="Times New Roman" w:cs="Segoe UI"/>
          <w:kern w:val="0"/>
          <w:lang/>
          <w14:ligatures w14:val="none"/>
        </w:rPr>
        <w:t> :</w:t>
      </w:r>
      <w:r w:rsidRPr="00065784">
        <w:rPr>
          <w:rFonts w:eastAsia="Times New Roman" w:cs="Segoe UI"/>
          <w:kern w:val="0"/>
          <w:lang/>
          <w14:ligatures w14:val="none"/>
        </w:rPr>
        <w:br/>
        <w:t>Usurpation d'identité à l'échelle systémique, comme l'attaque contre DigiNotar en 2011 où 531 certificats frauduleux furent émis </w:t>
      </w:r>
      <w:hyperlink r:id="rId10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1</w:t>
        </w:r>
      </w:hyperlink>
      <w:hyperlink r:id="rId11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613836F1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36658EB6">
          <v:rect id="_x0000_i1026" style="width:0;height:.75pt" o:hralign="center" o:hrstd="t" o:hr="t" fillcolor="#a0a0a0" stroked="f"/>
        </w:pict>
      </w:r>
    </w:p>
    <w:p w14:paraId="44A0B04A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2. Attaques sur les Autorités de Certification (CA)</w:t>
      </w:r>
    </w:p>
    <w:p w14:paraId="6397E092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Techniques émergentes :</w:t>
      </w:r>
    </w:p>
    <w:p w14:paraId="548F2B23" w14:textId="77777777" w:rsidR="00065784" w:rsidRPr="00065784" w:rsidRDefault="00065784" w:rsidP="00065784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CA fantômes</w:t>
      </w:r>
      <w:r w:rsidRPr="00065784">
        <w:rPr>
          <w:rFonts w:eastAsia="Times New Roman" w:cs="Segoe UI"/>
          <w:kern w:val="0"/>
          <w:lang/>
          <w14:ligatures w14:val="none"/>
        </w:rPr>
        <w:t> : Création d'une autorité racine illégitime intégrée dans les stores de confiance via des malwares (ex : Superfish) </w:t>
      </w:r>
      <w:hyperlink r:id="rId12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1</w:t>
        </w:r>
      </w:hyperlink>
      <w:hyperlink r:id="rId13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1376BF59" w14:textId="77777777" w:rsidR="00065784" w:rsidRPr="00065784" w:rsidRDefault="00065784" w:rsidP="00065784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Délégation abusive</w:t>
      </w:r>
      <w:r w:rsidRPr="00065784">
        <w:rPr>
          <w:rFonts w:eastAsia="Times New Roman" w:cs="Segoe UI"/>
          <w:kern w:val="0"/>
          <w:lang/>
          <w14:ligatures w14:val="none"/>
        </w:rPr>
        <w:t> : Exploitation des mécanismes de délégation de confiance dans les chaînes X.509 pour injecter des sous-CA malveillantes </w:t>
      </w:r>
      <w:hyperlink r:id="rId14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3</w:t>
        </w:r>
      </w:hyperlink>
      <w:hyperlink r:id="rId15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5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4D9786CF" w14:textId="77777777" w:rsidR="00065784" w:rsidRPr="00065784" w:rsidRDefault="00065784" w:rsidP="00065784">
      <w:pPr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Attaques par saturation</w:t>
      </w:r>
      <w:r w:rsidRPr="00065784">
        <w:rPr>
          <w:rFonts w:eastAsia="Times New Roman" w:cs="Segoe UI"/>
          <w:kern w:val="0"/>
          <w:lang/>
          <w14:ligatures w14:val="none"/>
        </w:rPr>
        <w:t> : Surcharge des mécanismes de révocation (CRL/OCSP) pour forcer l'acceptation de certificats révoqués </w:t>
      </w:r>
      <w:hyperlink r:id="rId16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5</w:t>
        </w:r>
      </w:hyperlink>
      <w:hyperlink r:id="rId17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491B85FF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Cas concret</w:t>
      </w:r>
      <w:r w:rsidRPr="00065784">
        <w:rPr>
          <w:rFonts w:eastAsia="Times New Roman" w:cs="Segoe UI"/>
          <w:kern w:val="0"/>
          <w:lang/>
          <w14:ligatures w14:val="none"/>
        </w:rPr>
        <w:t> :</w:t>
      </w:r>
      <w:r w:rsidRPr="00065784">
        <w:rPr>
          <w:rFonts w:eastAsia="Times New Roman" w:cs="Segoe UI"/>
          <w:kern w:val="0"/>
          <w:lang/>
          <w14:ligatures w14:val="none"/>
        </w:rPr>
        <w:br/>
        <w:t>La faille "ROCA" (2017) dans les chips TPM d'Infineon permit de factoriser les clés RSA 2048 bits en 2 mois </w:t>
      </w:r>
      <w:hyperlink r:id="rId18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1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3FF05676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7120AC70">
          <v:rect id="_x0000_i1027" style="width:0;height:.75pt" o:hralign="center" o:hrstd="t" o:hr="t" fillcolor="#a0a0a0" stroked="f"/>
        </w:pict>
      </w:r>
    </w:p>
    <w:p w14:paraId="0231CA02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3. Attaques Man-in-the-Middle (MITM) évoluées</w:t>
      </w:r>
    </w:p>
    <w:p w14:paraId="4B1F59BC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Innovations malveillantes :</w:t>
      </w:r>
    </w:p>
    <w:p w14:paraId="0CC2652F" w14:textId="77777777" w:rsidR="00065784" w:rsidRPr="00065784" w:rsidRDefault="00065784" w:rsidP="0006578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Stripping attacks</w:t>
      </w:r>
      <w:r w:rsidRPr="00065784">
        <w:rPr>
          <w:rFonts w:eastAsia="Times New Roman" w:cs="Segoe UI"/>
          <w:kern w:val="0"/>
          <w:lang/>
          <w14:ligatures w14:val="none"/>
        </w:rPr>
        <w:t> : Dégradation forcée du protocole TLS vers des versions vulnérables sans PKI </w:t>
      </w:r>
      <w:hyperlink r:id="rId19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18B06510" w14:textId="77777777" w:rsidR="00065784" w:rsidRPr="00065784" w:rsidRDefault="00065784" w:rsidP="0006578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lastRenderedPageBreak/>
        <w:t>Certificats pré-signés</w:t>
      </w:r>
      <w:r w:rsidRPr="00065784">
        <w:rPr>
          <w:rFonts w:eastAsia="Times New Roman" w:cs="Segoe UI"/>
          <w:kern w:val="0"/>
          <w:lang/>
          <w14:ligatures w14:val="none"/>
        </w:rPr>
        <w:t> : Utilisation de certificats valides émis avant leur révocation pour contourner les CRL </w:t>
      </w:r>
      <w:hyperlink r:id="rId20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5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4221D800" w14:textId="77777777" w:rsidR="00065784" w:rsidRPr="00065784" w:rsidRDefault="00065784" w:rsidP="00065784">
      <w:pPr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Empoisonnement DNS + PKI</w:t>
      </w:r>
      <w:r w:rsidRPr="00065784">
        <w:rPr>
          <w:rFonts w:eastAsia="Times New Roman" w:cs="Segoe UI"/>
          <w:kern w:val="0"/>
          <w:lang/>
          <w14:ligatures w14:val="none"/>
        </w:rPr>
        <w:t> : Combinaison d'attaque DNS et de certificats frauduleux pour cibler des sous-domaines </w:t>
      </w:r>
      <w:hyperlink r:id="rId21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3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276852E4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Exemple</w:t>
      </w:r>
      <w:r w:rsidRPr="00065784">
        <w:rPr>
          <w:rFonts w:eastAsia="Times New Roman" w:cs="Segoe UI"/>
          <w:kern w:val="0"/>
          <w:lang/>
          <w14:ligatures w14:val="none"/>
        </w:rPr>
        <w:t> :</w:t>
      </w:r>
      <w:r w:rsidRPr="00065784">
        <w:rPr>
          <w:rFonts w:eastAsia="Times New Roman" w:cs="Segoe UI"/>
          <w:kern w:val="0"/>
          <w:lang/>
          <w14:ligatures w14:val="none"/>
        </w:rPr>
        <w:br/>
        <w:t>L'attaque "FREAK" (2015) exploitait les export cipher suites pour forcer l'utilisation de clés RSA 512 bits crackables </w:t>
      </w:r>
      <w:hyperlink r:id="rId22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1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6840B4F7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0D843A1B">
          <v:rect id="_x0000_i1028" style="width:0;height:.75pt" o:hralign="center" o:hrstd="t" o:hr="t" fillcolor="#a0a0a0" stroked="f"/>
        </w:pict>
      </w:r>
    </w:p>
    <w:p w14:paraId="156B5428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4. Attaques par rebond sur les systèmes adjacents</w:t>
      </w:r>
    </w:p>
    <w:p w14:paraId="51882FA3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Vecteurs complexes :</w:t>
      </w:r>
    </w:p>
    <w:p w14:paraId="70986763" w14:textId="77777777" w:rsidR="00065784" w:rsidRPr="00065784" w:rsidRDefault="00065784" w:rsidP="0006578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Exploitation d'AD CS</w:t>
      </w:r>
      <w:r w:rsidRPr="00065784">
        <w:rPr>
          <w:rFonts w:eastAsia="Times New Roman" w:cs="Segoe UI"/>
          <w:kern w:val="0"/>
          <w:lang/>
          <w14:ligatures w14:val="none"/>
        </w:rPr>
        <w:t> : Outils comme Certipy pour usurper des identités via des templates de certificats vulnérables (ESC1-ESC8) </w:t>
      </w:r>
      <w:hyperlink r:id="rId23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8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21C345BD" w14:textId="77777777" w:rsidR="00065784" w:rsidRPr="00065784" w:rsidRDefault="00065784" w:rsidP="0006578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Attaques sur les HSM</w:t>
      </w:r>
      <w:r w:rsidRPr="00065784">
        <w:rPr>
          <w:rFonts w:eastAsia="Times New Roman" w:cs="Segoe UI"/>
          <w:kern w:val="0"/>
          <w:lang/>
          <w14:ligatures w14:val="none"/>
        </w:rPr>
        <w:t> : Injection de firmware malveillant dans les modules matériels via les interfaces de maintenance </w:t>
      </w:r>
      <w:hyperlink r:id="rId24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6</w:t>
        </w:r>
      </w:hyperlink>
      <w:hyperlink r:id="rId25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7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5B573867" w14:textId="77777777" w:rsidR="00065784" w:rsidRPr="00065784" w:rsidRDefault="00065784" w:rsidP="00065784">
      <w:pPr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Détournement de logs CT</w:t>
      </w:r>
      <w:r w:rsidRPr="00065784">
        <w:rPr>
          <w:rFonts w:eastAsia="Times New Roman" w:cs="Segoe UI"/>
          <w:kern w:val="0"/>
          <w:lang/>
          <w14:ligatures w14:val="none"/>
        </w:rPr>
        <w:t> : Manipulation des Certificate Transparency logs pour masquer des certificats frauduleux </w:t>
      </w:r>
      <w:hyperlink r:id="rId26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3</w:t>
        </w:r>
      </w:hyperlink>
      <w:hyperlink r:id="rId27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5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3C1BB1F7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Impact</w:t>
      </w:r>
      <w:r w:rsidRPr="00065784">
        <w:rPr>
          <w:rFonts w:eastAsia="Times New Roman" w:cs="Segoe UI"/>
          <w:kern w:val="0"/>
          <w:lang/>
          <w14:ligatures w14:val="none"/>
        </w:rPr>
        <w:t> :</w:t>
      </w:r>
      <w:r w:rsidRPr="00065784">
        <w:rPr>
          <w:rFonts w:eastAsia="Times New Roman" w:cs="Segoe UI"/>
          <w:kern w:val="0"/>
          <w:lang/>
          <w14:ligatures w14:val="none"/>
        </w:rPr>
        <w:br/>
        <w:t>74% des organisations ont subi des incidents liés à des certificats non détectés pendant +3 mois </w:t>
      </w:r>
      <w:hyperlink r:id="rId28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7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0D8735D0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24B5C333">
          <v:rect id="_x0000_i1029" style="width:0;height:.75pt" o:hralign="center" o:hrstd="t" o:hr="t" fillcolor="#a0a0a0" stroked="f"/>
        </w:pict>
      </w:r>
    </w:p>
    <w:p w14:paraId="17282151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 w:val="36"/>
          <w:szCs w:val="36"/>
          <w:lang/>
          <w14:ligatures w14:val="none"/>
        </w:rPr>
      </w:pPr>
      <w:r w:rsidRPr="00065784">
        <w:rPr>
          <w:rFonts w:eastAsia="Times New Roman" w:cs="Times New Roman"/>
          <w:kern w:val="0"/>
          <w:sz w:val="36"/>
          <w:szCs w:val="36"/>
          <w:lang/>
          <w14:ligatures w14:val="none"/>
        </w:rPr>
        <w:t>Stratégies de mitigation avancées</w:t>
      </w: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1982"/>
        <w:gridCol w:w="5670"/>
        <w:gridCol w:w="1414"/>
      </w:tblGrid>
      <w:tr w:rsidR="00065784" w:rsidRPr="00065784" w14:paraId="13EE89E1" w14:textId="77777777" w:rsidTr="00065784">
        <w:tc>
          <w:tcPr>
            <w:tcW w:w="1982" w:type="dxa"/>
            <w:hideMark/>
          </w:tcPr>
          <w:p w14:paraId="7992CF1A" w14:textId="77777777" w:rsidR="00065784" w:rsidRPr="00065784" w:rsidRDefault="00065784" w:rsidP="00065784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  <w:t>Contre-mesure</w:t>
            </w:r>
          </w:p>
        </w:tc>
        <w:tc>
          <w:tcPr>
            <w:tcW w:w="5670" w:type="dxa"/>
            <w:hideMark/>
          </w:tcPr>
          <w:p w14:paraId="10201EDF" w14:textId="77777777" w:rsidR="00065784" w:rsidRPr="00065784" w:rsidRDefault="00065784" w:rsidP="00065784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  <w:t>Technologie/Tactique</w:t>
            </w:r>
          </w:p>
        </w:tc>
        <w:tc>
          <w:tcPr>
            <w:tcW w:w="0" w:type="auto"/>
            <w:hideMark/>
          </w:tcPr>
          <w:p w14:paraId="3B4CFF65" w14:textId="77777777" w:rsidR="00065784" w:rsidRPr="00065784" w:rsidRDefault="00065784" w:rsidP="00065784">
            <w:pPr>
              <w:spacing w:before="240" w:after="240"/>
              <w:jc w:val="center"/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/>
                <w14:ligatures w14:val="none"/>
              </w:rPr>
              <w:t>Référence</w:t>
            </w:r>
          </w:p>
        </w:tc>
      </w:tr>
      <w:tr w:rsidR="00065784" w:rsidRPr="00065784" w14:paraId="61C12316" w14:textId="77777777" w:rsidTr="00065784">
        <w:tc>
          <w:tcPr>
            <w:tcW w:w="1982" w:type="dxa"/>
            <w:hideMark/>
          </w:tcPr>
          <w:p w14:paraId="412C3B74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Rotation automatisée des clés</w:t>
            </w:r>
          </w:p>
        </w:tc>
        <w:tc>
          <w:tcPr>
            <w:tcW w:w="5670" w:type="dxa"/>
            <w:hideMark/>
          </w:tcPr>
          <w:p w14:paraId="58F1AC41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HSMs avec API REST + orchestration Terraform</w:t>
            </w:r>
          </w:p>
        </w:tc>
        <w:tc>
          <w:tcPr>
            <w:tcW w:w="0" w:type="auto"/>
            <w:hideMark/>
          </w:tcPr>
          <w:p w14:paraId="4A6A0EA8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hyperlink r:id="rId29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6</w:t>
              </w:r>
            </w:hyperlink>
            <w:hyperlink r:id="rId30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7</w:t>
              </w:r>
            </w:hyperlink>
          </w:p>
        </w:tc>
      </w:tr>
      <w:tr w:rsidR="00065784" w:rsidRPr="00065784" w14:paraId="3B206D62" w14:textId="77777777" w:rsidTr="00065784">
        <w:tc>
          <w:tcPr>
            <w:tcW w:w="1982" w:type="dxa"/>
            <w:hideMark/>
          </w:tcPr>
          <w:p w14:paraId="496BFDF3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Surveillance des anomalies PKI</w:t>
            </w:r>
          </w:p>
        </w:tc>
        <w:tc>
          <w:tcPr>
            <w:tcW w:w="5670" w:type="dxa"/>
            <w:hideMark/>
          </w:tcPr>
          <w:p w14:paraId="4EFA2FE3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ML pour détecter les patterns de délégation anormaux</w:t>
            </w:r>
          </w:p>
        </w:tc>
        <w:tc>
          <w:tcPr>
            <w:tcW w:w="0" w:type="auto"/>
            <w:hideMark/>
          </w:tcPr>
          <w:p w14:paraId="6F0C04C8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hyperlink r:id="rId31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3</w:t>
              </w:r>
            </w:hyperlink>
            <w:hyperlink r:id="rId32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8</w:t>
              </w:r>
            </w:hyperlink>
          </w:p>
        </w:tc>
      </w:tr>
      <w:tr w:rsidR="00065784" w:rsidRPr="00065784" w14:paraId="5018364C" w14:textId="77777777" w:rsidTr="00065784">
        <w:tc>
          <w:tcPr>
            <w:tcW w:w="1982" w:type="dxa"/>
            <w:hideMark/>
          </w:tcPr>
          <w:p w14:paraId="661124D6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Chiffrement post-quantique</w:t>
            </w:r>
          </w:p>
        </w:tc>
        <w:tc>
          <w:tcPr>
            <w:tcW w:w="5670" w:type="dxa"/>
            <w:hideMark/>
          </w:tcPr>
          <w:p w14:paraId="3ABF1696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Algorithmes hybrides (CRYSTALS-Kyber + ECC)</w:t>
            </w:r>
          </w:p>
        </w:tc>
        <w:tc>
          <w:tcPr>
            <w:tcW w:w="0" w:type="auto"/>
            <w:hideMark/>
          </w:tcPr>
          <w:p w14:paraId="4FD24119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hyperlink r:id="rId33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1</w:t>
              </w:r>
            </w:hyperlink>
            <w:hyperlink r:id="rId34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4</w:t>
              </w:r>
            </w:hyperlink>
          </w:p>
        </w:tc>
      </w:tr>
      <w:tr w:rsidR="00065784" w:rsidRPr="00065784" w14:paraId="366E7D37" w14:textId="77777777" w:rsidTr="00065784">
        <w:tc>
          <w:tcPr>
            <w:tcW w:w="1982" w:type="dxa"/>
            <w:hideMark/>
          </w:tcPr>
          <w:p w14:paraId="4BE7CFC2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Isolation des opérations critiques</w:t>
            </w:r>
          </w:p>
        </w:tc>
        <w:tc>
          <w:tcPr>
            <w:tcW w:w="5670" w:type="dxa"/>
            <w:hideMark/>
          </w:tcPr>
          <w:p w14:paraId="171A30A0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Environnements TEE (Trusted Execution Environment)</w:t>
            </w:r>
          </w:p>
        </w:tc>
        <w:tc>
          <w:tcPr>
            <w:tcW w:w="0" w:type="auto"/>
            <w:hideMark/>
          </w:tcPr>
          <w:p w14:paraId="62C83A39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hyperlink r:id="rId35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6</w:t>
              </w:r>
            </w:hyperlink>
            <w:hyperlink r:id="rId36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8</w:t>
              </w:r>
            </w:hyperlink>
          </w:p>
        </w:tc>
      </w:tr>
      <w:tr w:rsidR="00065784" w:rsidRPr="00065784" w14:paraId="07A04AD7" w14:textId="77777777" w:rsidTr="00065784">
        <w:tc>
          <w:tcPr>
            <w:tcW w:w="1982" w:type="dxa"/>
            <w:hideMark/>
          </w:tcPr>
          <w:p w14:paraId="47C67F05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lastRenderedPageBreak/>
              <w:t>Vérification en temps réel</w:t>
            </w:r>
          </w:p>
        </w:tc>
        <w:tc>
          <w:tcPr>
            <w:tcW w:w="5670" w:type="dxa"/>
            <w:hideMark/>
          </w:tcPr>
          <w:p w14:paraId="2503CD11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r w:rsidRPr="00065784"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  <w:t>Implémentation obligatoire de OCSP Must-Staple</w:t>
            </w:r>
          </w:p>
        </w:tc>
        <w:tc>
          <w:tcPr>
            <w:tcW w:w="0" w:type="auto"/>
            <w:hideMark/>
          </w:tcPr>
          <w:p w14:paraId="1DDECE62" w14:textId="77777777" w:rsidR="00065784" w:rsidRPr="00065784" w:rsidRDefault="00065784" w:rsidP="00065784">
            <w:pPr>
              <w:spacing w:before="240" w:after="240"/>
              <w:rPr>
                <w:rFonts w:eastAsia="Times New Roman" w:cs="Times New Roman"/>
                <w:kern w:val="0"/>
                <w:sz w:val="21"/>
                <w:szCs w:val="21"/>
                <w:lang/>
                <w14:ligatures w14:val="none"/>
              </w:rPr>
            </w:pPr>
            <w:hyperlink r:id="rId37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5</w:t>
              </w:r>
            </w:hyperlink>
            <w:hyperlink r:id="rId38" w:tgtFrame="_blank" w:history="1">
              <w:r w:rsidRPr="00065784">
                <w:rPr>
                  <w:rFonts w:eastAsia="Times New Roman" w:cs="Courier New"/>
                  <w:color w:val="0000FF"/>
                  <w:kern w:val="0"/>
                  <w:sz w:val="21"/>
                  <w:szCs w:val="21"/>
                  <w:bdr w:val="single" w:sz="2" w:space="0" w:color="E5E7EB" w:frame="1"/>
                  <w:lang/>
                  <w14:ligatures w14:val="none"/>
                </w:rPr>
                <w:t>8</w:t>
              </w:r>
            </w:hyperlink>
          </w:p>
        </w:tc>
      </w:tr>
    </w:tbl>
    <w:p w14:paraId="2B63C74A" w14:textId="77777777" w:rsidR="00065784" w:rsidRPr="00065784" w:rsidRDefault="00E22217" w:rsidP="00065784">
      <w:pPr>
        <w:spacing w:before="240" w:after="240" w:line="240" w:lineRule="auto"/>
        <w:rPr>
          <w:rFonts w:eastAsia="Times New Roman" w:cs="Times New Roman"/>
          <w:kern w:val="0"/>
          <w:lang/>
          <w14:ligatures w14:val="none"/>
        </w:rPr>
      </w:pPr>
      <w:r>
        <w:rPr>
          <w:rFonts w:eastAsia="Times New Roman" w:cs="Times New Roman"/>
          <w:noProof/>
          <w:kern w:val="0"/>
          <w:lang/>
          <w14:ligatures w14:val="none"/>
        </w:rPr>
      </w:r>
      <w:r w:rsidR="00E22217">
        <w:rPr>
          <w:rFonts w:eastAsia="Times New Roman" w:cs="Times New Roman"/>
          <w:noProof/>
          <w:kern w:val="0"/>
          <w:lang/>
          <w14:ligatures w14:val="none"/>
        </w:rPr>
        <w:pict w14:anchorId="6C0E4781">
          <v:rect id="_x0000_i1030" style="width:0;height:.75pt" o:hralign="center" o:hrstd="t" o:hr="t" fillcolor="#a0a0a0" stroked="f"/>
        </w:pict>
      </w:r>
    </w:p>
    <w:p w14:paraId="2DE129AA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Conclusion</w:t>
      </w:r>
      <w:r w:rsidRPr="00065784">
        <w:rPr>
          <w:rFonts w:eastAsia="Times New Roman" w:cs="Segoe UI"/>
          <w:kern w:val="0"/>
          <w:lang/>
          <w14:ligatures w14:val="none"/>
        </w:rPr>
        <w:t> :</w:t>
      </w:r>
      <w:r w:rsidRPr="00065784">
        <w:rPr>
          <w:rFonts w:eastAsia="Times New Roman" w:cs="Segoe UI"/>
          <w:kern w:val="0"/>
          <w:lang/>
          <w14:ligatures w14:val="none"/>
        </w:rPr>
        <w:br/>
        <w:t>Face à ces attaques sophistiquées, une approche </w:t>
      </w: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Zero Trust PKI</w:t>
      </w:r>
      <w:r w:rsidRPr="00065784">
        <w:rPr>
          <w:rFonts w:eastAsia="Times New Roman" w:cs="Segoe UI"/>
          <w:kern w:val="0"/>
          <w:lang/>
          <w14:ligatures w14:val="none"/>
        </w:rPr>
        <w:t> s'impose, combinant :</w:t>
      </w:r>
    </w:p>
    <w:p w14:paraId="3208390C" w14:textId="77777777" w:rsidR="00065784" w:rsidRPr="00065784" w:rsidRDefault="00065784" w:rsidP="0006578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Chiffrement quantique-safe</w:t>
      </w:r>
    </w:p>
    <w:p w14:paraId="0081567B" w14:textId="77777777" w:rsidR="00065784" w:rsidRPr="00065784" w:rsidRDefault="00065784" w:rsidP="0006578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Journalisation immuable via blockchain</w:t>
      </w:r>
    </w:p>
    <w:p w14:paraId="7CDF6D58" w14:textId="77777777" w:rsidR="00065784" w:rsidRPr="00065784" w:rsidRDefault="00065784" w:rsidP="0006578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Contrôle continu des relations de confiance</w:t>
      </w:r>
    </w:p>
    <w:p w14:paraId="2272BFCF" w14:textId="77777777" w:rsidR="00065784" w:rsidRPr="00065784" w:rsidRDefault="00065784" w:rsidP="00065784">
      <w:pPr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Détection comportementale des anomalies</w:t>
      </w:r>
    </w:p>
    <w:p w14:paraId="27352A5D" w14:textId="77777777" w:rsidR="00065784" w:rsidRPr="00065784" w:rsidRDefault="00065784" w:rsidP="00065784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eastAsia="Times New Roman" w:cs="Segoe UI"/>
          <w:kern w:val="0"/>
          <w:lang/>
          <w14:ligatures w14:val="none"/>
        </w:rPr>
      </w:pPr>
      <w:r w:rsidRPr="00065784">
        <w:rPr>
          <w:rFonts w:eastAsia="Times New Roman" w:cs="Segoe UI"/>
          <w:kern w:val="0"/>
          <w:lang/>
          <w14:ligatures w14:val="none"/>
        </w:rPr>
        <w:t>Ces mesures doivent s'intégrer dans une stratégie de </w:t>
      </w:r>
      <w:r w:rsidRPr="00065784">
        <w:rPr>
          <w:rFonts w:eastAsia="Times New Roman" w:cs="Segoe UI"/>
          <w:b/>
          <w:bCs/>
          <w:kern w:val="0"/>
          <w:bdr w:val="single" w:sz="2" w:space="0" w:color="E5E7EB" w:frame="1"/>
          <w:lang/>
          <w14:ligatures w14:val="none"/>
        </w:rPr>
        <w:t>PKI as Code</w:t>
      </w:r>
      <w:r w:rsidRPr="00065784">
        <w:rPr>
          <w:rFonts w:eastAsia="Times New Roman" w:cs="Segoe UI"/>
          <w:kern w:val="0"/>
          <w:lang/>
          <w14:ligatures w14:val="none"/>
        </w:rPr>
        <w:t> pour répondre aux exigences des infrastructures cloud modernes </w:t>
      </w:r>
      <w:hyperlink r:id="rId39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6</w:t>
        </w:r>
      </w:hyperlink>
      <w:hyperlink r:id="rId40" w:tgtFrame="_blank" w:history="1">
        <w:r w:rsidRPr="00065784">
          <w:rPr>
            <w:rFonts w:eastAsia="Times New Roman" w:cs="Courier New"/>
            <w:color w:val="0000FF"/>
            <w:kern w:val="0"/>
            <w:bdr w:val="single" w:sz="2" w:space="0" w:color="E5E7EB" w:frame="1"/>
            <w:lang/>
            <w14:ligatures w14:val="none"/>
          </w:rPr>
          <w:t>7</w:t>
        </w:r>
      </w:hyperlink>
      <w:r w:rsidRPr="00065784">
        <w:rPr>
          <w:rFonts w:eastAsia="Times New Roman" w:cs="Segoe UI"/>
          <w:kern w:val="0"/>
          <w:bdr w:val="single" w:sz="2" w:space="0" w:color="E5E7EB" w:frame="1"/>
          <w:lang/>
          <w14:ligatures w14:val="none"/>
        </w:rPr>
        <w:t>.</w:t>
      </w:r>
    </w:p>
    <w:p w14:paraId="5ECF70FD" w14:textId="77777777" w:rsidR="00732D28" w:rsidRPr="00065784" w:rsidRDefault="00732D28"/>
    <w:sectPr w:rsidR="00732D28" w:rsidRPr="00065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F3605"/>
    <w:multiLevelType w:val="multilevel"/>
    <w:tmpl w:val="23FC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9E1C2D"/>
    <w:multiLevelType w:val="multilevel"/>
    <w:tmpl w:val="1CC0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207B33"/>
    <w:multiLevelType w:val="multilevel"/>
    <w:tmpl w:val="2C0C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0C730A"/>
    <w:multiLevelType w:val="multilevel"/>
    <w:tmpl w:val="3A54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046CCE"/>
    <w:multiLevelType w:val="multilevel"/>
    <w:tmpl w:val="DBF4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9481987">
    <w:abstractNumId w:val="2"/>
  </w:num>
  <w:num w:numId="2" w16cid:durableId="279917040">
    <w:abstractNumId w:val="3"/>
  </w:num>
  <w:num w:numId="3" w16cid:durableId="1291085795">
    <w:abstractNumId w:val="4"/>
  </w:num>
  <w:num w:numId="4" w16cid:durableId="335350513">
    <w:abstractNumId w:val="1"/>
  </w:num>
  <w:num w:numId="5" w16cid:durableId="1207595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84"/>
    <w:rsid w:val="00065784"/>
    <w:rsid w:val="00732D28"/>
    <w:rsid w:val="00BC590A"/>
    <w:rsid w:val="00DD143E"/>
    <w:rsid w:val="00E2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C3DDCDF"/>
  <w15:chartTrackingRefBased/>
  <w15:docId w15:val="{A7229B63-8020-4495-A54F-DF33D003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657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5784"/>
    <w:rPr>
      <w:rFonts w:ascii="Times New Roman" w:eastAsia="Times New Roman" w:hAnsi="Times New Roman" w:cs="Times New Roman"/>
      <w:b/>
      <w:bCs/>
      <w:kern w:val="0"/>
      <w:sz w:val="36"/>
      <w:szCs w:val="36"/>
      <w:lang/>
      <w14:ligatures w14:val="none"/>
    </w:rPr>
  </w:style>
  <w:style w:type="paragraph" w:customStyle="1" w:styleId="my-0">
    <w:name w:val="my-0"/>
    <w:basedOn w:val="Normal"/>
    <w:rsid w:val="0006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character" w:styleId="Strong">
    <w:name w:val="Strong"/>
    <w:basedOn w:val="DefaultParagraphFont"/>
    <w:uiPriority w:val="22"/>
    <w:qFormat/>
    <w:rsid w:val="00065784"/>
    <w:rPr>
      <w:b/>
      <w:bCs/>
    </w:rPr>
  </w:style>
  <w:style w:type="character" w:customStyle="1" w:styleId="hoverbg-super">
    <w:name w:val="hover:bg-super"/>
    <w:basedOn w:val="DefaultParagraphFont"/>
    <w:rsid w:val="00065784"/>
  </w:style>
  <w:style w:type="character" w:customStyle="1" w:styleId="whitespace-nowrap">
    <w:name w:val="whitespace-nowrap"/>
    <w:basedOn w:val="DefaultParagraphFont"/>
    <w:rsid w:val="00065784"/>
  </w:style>
  <w:style w:type="table" w:styleId="TableGrid">
    <w:name w:val="Table Grid"/>
    <w:basedOn w:val="TableNormal"/>
    <w:uiPriority w:val="39"/>
    <w:rsid w:val="00065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1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70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49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xiv.org/pdf/1712.09859.pdf" TargetMode="External" /><Relationship Id="rId13" Type="http://schemas.openxmlformats.org/officeDocument/2006/relationships/hyperlink" Target="https://www.curios-it.eu/pki-infrastructure.html" TargetMode="External" /><Relationship Id="rId18" Type="http://schemas.openxmlformats.org/officeDocument/2006/relationships/hyperlink" Target="https://arxiv.org/pdf/2401.05239.pdf" TargetMode="External" /><Relationship Id="rId26" Type="http://schemas.openxmlformats.org/officeDocument/2006/relationships/hyperlink" Target="https://arxiv.org/pdf/1906.10775.pdf" TargetMode="External" /><Relationship Id="rId39" Type="http://schemas.openxmlformats.org/officeDocument/2006/relationships/hyperlink" Target="https://www.appviewx.com/blogs/best-practices-for-pki-management/" TargetMode="External" /><Relationship Id="rId3" Type="http://schemas.openxmlformats.org/officeDocument/2006/relationships/settings" Target="settings.xml" /><Relationship Id="rId21" Type="http://schemas.openxmlformats.org/officeDocument/2006/relationships/hyperlink" Target="https://arxiv.org/pdf/1906.10775.pdf" TargetMode="External" /><Relationship Id="rId34" Type="http://schemas.openxmlformats.org/officeDocument/2006/relationships/hyperlink" Target="https://arxiv.org/pdf/1712.09859.pdf" TargetMode="External" /><Relationship Id="rId42" Type="http://schemas.openxmlformats.org/officeDocument/2006/relationships/theme" Target="theme/theme1.xml" /><Relationship Id="rId7" Type="http://schemas.openxmlformats.org/officeDocument/2006/relationships/hyperlink" Target="https://arxiv.org/pdf/2401.05239.pdf" TargetMode="External" /><Relationship Id="rId12" Type="http://schemas.openxmlformats.org/officeDocument/2006/relationships/hyperlink" Target="https://arxiv.org/pdf/2401.05239.pdf" TargetMode="External" /><Relationship Id="rId17" Type="http://schemas.openxmlformats.org/officeDocument/2006/relationships/hyperlink" Target="https://www.curios-it.eu/pki-infrastructure.html" TargetMode="External" /><Relationship Id="rId25" Type="http://schemas.openxmlformats.org/officeDocument/2006/relationships/hyperlink" Target="https://www.appviewx.com/blogs/top-12-pki-risks-that-keep-security-professionals-up-at-night/" TargetMode="External" /><Relationship Id="rId33" Type="http://schemas.openxmlformats.org/officeDocument/2006/relationships/hyperlink" Target="https://arxiv.org/pdf/2401.05239.pdf" TargetMode="External" /><Relationship Id="rId38" Type="http://schemas.openxmlformats.org/officeDocument/2006/relationships/hyperlink" Target="https://www.curios-it.eu/pki-infrastructure.html" TargetMode="External" /><Relationship Id="rId2" Type="http://schemas.openxmlformats.org/officeDocument/2006/relationships/styles" Target="styles.xml" /><Relationship Id="rId16" Type="http://schemas.openxmlformats.org/officeDocument/2006/relationships/hyperlink" Target="http://arxiv.org/pdf/1601.03874.pdf" TargetMode="External" /><Relationship Id="rId20" Type="http://schemas.openxmlformats.org/officeDocument/2006/relationships/hyperlink" Target="http://arxiv.org/pdf/1601.03874.pdf" TargetMode="External" /><Relationship Id="rId29" Type="http://schemas.openxmlformats.org/officeDocument/2006/relationships/hyperlink" Target="https://www.appviewx.com/blogs/best-practices-for-pki-management/" TargetMode="External" /><Relationship Id="rId41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hyperlink" Target="https://www.appviewx.com/blogs/top-12-pki-risks-that-keep-security-professionals-up-at-night/" TargetMode="External" /><Relationship Id="rId11" Type="http://schemas.openxmlformats.org/officeDocument/2006/relationships/hyperlink" Target="https://www.curios-it.eu/pki-infrastructure.html" TargetMode="External" /><Relationship Id="rId24" Type="http://schemas.openxmlformats.org/officeDocument/2006/relationships/hyperlink" Target="https://www.appviewx.com/blogs/best-practices-for-pki-management/" TargetMode="External" /><Relationship Id="rId32" Type="http://schemas.openxmlformats.org/officeDocument/2006/relationships/hyperlink" Target="https://www.curios-it.eu/pki-infrastructure.html" TargetMode="External" /><Relationship Id="rId37" Type="http://schemas.openxmlformats.org/officeDocument/2006/relationships/hyperlink" Target="http://arxiv.org/pdf/1601.03874.pdf" TargetMode="External" /><Relationship Id="rId40" Type="http://schemas.openxmlformats.org/officeDocument/2006/relationships/hyperlink" Target="https://www.appviewx.com/blogs/top-12-pki-risks-that-keep-security-professionals-up-at-night/" TargetMode="External" /><Relationship Id="rId5" Type="http://schemas.openxmlformats.org/officeDocument/2006/relationships/hyperlink" Target="https://www.appviewx.com/blogs/best-practices-for-pki-management/" TargetMode="External" /><Relationship Id="rId15" Type="http://schemas.openxmlformats.org/officeDocument/2006/relationships/hyperlink" Target="http://arxiv.org/pdf/1601.03874.pdf" TargetMode="External" /><Relationship Id="rId23" Type="http://schemas.openxmlformats.org/officeDocument/2006/relationships/hyperlink" Target="https://www.curios-it.eu/pki-infrastructure.html" TargetMode="External" /><Relationship Id="rId28" Type="http://schemas.openxmlformats.org/officeDocument/2006/relationships/hyperlink" Target="https://www.appviewx.com/blogs/top-12-pki-risks-that-keep-security-professionals-up-at-night/" TargetMode="External" /><Relationship Id="rId36" Type="http://schemas.openxmlformats.org/officeDocument/2006/relationships/hyperlink" Target="https://www.curios-it.eu/pki-infrastructure.html" TargetMode="External" /><Relationship Id="rId10" Type="http://schemas.openxmlformats.org/officeDocument/2006/relationships/hyperlink" Target="https://arxiv.org/pdf/2401.05239.pdf" TargetMode="External" /><Relationship Id="rId19" Type="http://schemas.openxmlformats.org/officeDocument/2006/relationships/hyperlink" Target="https://www.curios-it.eu/pki-infrastructure.html" TargetMode="External" /><Relationship Id="rId31" Type="http://schemas.openxmlformats.org/officeDocument/2006/relationships/hyperlink" Target="https://arxiv.org/pdf/1906.10775.pdf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www.curios-it.eu/pki-infrastructure.html" TargetMode="External" /><Relationship Id="rId14" Type="http://schemas.openxmlformats.org/officeDocument/2006/relationships/hyperlink" Target="https://arxiv.org/pdf/1906.10775.pdf" TargetMode="External" /><Relationship Id="rId22" Type="http://schemas.openxmlformats.org/officeDocument/2006/relationships/hyperlink" Target="https://arxiv.org/pdf/2401.05239.pdf" TargetMode="External" /><Relationship Id="rId27" Type="http://schemas.openxmlformats.org/officeDocument/2006/relationships/hyperlink" Target="http://arxiv.org/pdf/1601.03874.pdf" TargetMode="External" /><Relationship Id="rId30" Type="http://schemas.openxmlformats.org/officeDocument/2006/relationships/hyperlink" Target="https://www.appviewx.com/blogs/top-12-pki-risks-that-keep-security-professionals-up-at-night/" TargetMode="External" /><Relationship Id="rId35" Type="http://schemas.openxmlformats.org/officeDocument/2006/relationships/hyperlink" Target="https://www.appviewx.com/blogs/best-practices-for-pki-management/" TargetMode="Externa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5277</Characters>
  <Application>Microsoft Office Word</Application>
  <DocSecurity>0</DocSecurity>
  <Lines>43</Lines>
  <Paragraphs>12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Charbel ATIHOU</dc:creator>
  <cp:keywords/>
  <dc:description/>
  <cp:lastModifiedBy>Grace Fanta KOUNOU</cp:lastModifiedBy>
  <cp:revision>2</cp:revision>
  <dcterms:created xsi:type="dcterms:W3CDTF">2025-05-30T09:28:00Z</dcterms:created>
  <dcterms:modified xsi:type="dcterms:W3CDTF">2025-05-30T09:28:00Z</dcterms:modified>
</cp:coreProperties>
</file>