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r>
        <mc:AlternateContent>
          <mc:Choice Requires="wps">
            <w:drawing>
              <wp:anchor behindDoc="0" distT="0" distB="0" distL="89535" distR="89535" simplePos="0" locked="0" layoutInCell="0" allowOverlap="1" relativeHeight="84">
                <wp:simplePos x="0" y="0"/>
                <wp:positionH relativeFrom="margin">
                  <wp:align>center</wp:align>
                </wp:positionH>
                <wp:positionV relativeFrom="paragraph">
                  <wp:posOffset>-87630</wp:posOffset>
                </wp:positionV>
                <wp:extent cx="6884670" cy="5351780"/>
                <wp:effectExtent l="0" t="0" r="0" b="0"/>
                <wp:wrapSquare wrapText="bothSides"/>
                <wp:docPr id="1" name="Frame1"/>
                <a:graphic xmlns:a="http://schemas.openxmlformats.org/drawingml/2006/main">
                  <a:graphicData uri="http://schemas.microsoft.com/office/word/2010/wordprocessingShape">
                    <wps:wsp>
                      <wps:cNvSpPr txBox="1"/>
                      <wps:spPr>
                        <a:xfrm>
                          <a:off x="0" y="0"/>
                          <a:ext cx="6884670" cy="5351780"/>
                        </a:xfrm>
                        <a:prstGeom prst="rect"/>
                        <a:solidFill>
                          <a:srgbClr val="FFFFFF">
                            <a:alpha val="0"/>
                          </a:srgbClr>
                        </a:solidFill>
                      </wps:spPr>
                      <wps:txbx>
                        <w:txbxContent>
                          <w:tbl>
                            <w:tblPr>
                              <w:tblW w:w="10842" w:type="dxa"/>
                              <w:jc w:val="center"/>
                              <w:tblInd w:w="0" w:type="dxa"/>
                              <w:tblLayout w:type="fixed"/>
                              <w:tblCellMar>
                                <w:top w:w="0" w:type="dxa"/>
                                <w:left w:w="0" w:type="dxa"/>
                                <w:bottom w:w="0" w:type="dxa"/>
                                <w:right w:w="0" w:type="dxa"/>
                              </w:tblCellMar>
                            </w:tblPr>
                            <w:tblGrid>
                              <w:gridCol w:w="692"/>
                              <w:gridCol w:w="10150"/>
                            </w:tblGrid>
                            <w:tr>
                              <w:trPr>
                                <w:trHeight w:val="7501" w:hRule="atLeast"/>
                              </w:trPr>
                              <w:tc>
                                <w:tcPr>
                                  <w:tcW w:w="692"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0"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Fonts w:eastAsia="Calibri" w:cs="Times New Roman"/>
                                      <w:b/>
                                      <w:bCs/>
                                      <w:color w:val="014276"/>
                                      <w:kern w:val="0"/>
                                      <w:sz w:val="44"/>
                                      <w:szCs w:val="44"/>
                                      <w:lang w:val="fr-FR" w:eastAsia="en-US" w:bidi="ar-SA"/>
                                    </w:rPr>
                                    <w:t>PROC-01 : PROCÉDURE DE MISE EN SERVICE SÉCURISÉE DES SERVEURS LINUX</w:t>
                                  </w:r>
                                </w:p>
                                <w:p>
                                  <w:pPr>
                                    <w:pStyle w:val="Normal"/>
                                    <w:widowControl w:val="false"/>
                                    <w:spacing w:before="240" w:after="96"/>
                                    <w:rPr>
                                      <w:rFonts w:ascii="Times New Roman" w:hAnsi="Times New Roman"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txbxContent>
                      </wps:txbx>
                      <wps:bodyPr anchor="t" lIns="0" tIns="0" rIns="0" bIns="0">
                        <a:noAutofit/>
                      </wps:bodyPr>
                    </wps:wsp>
                  </a:graphicData>
                </a:graphic>
              </wp:anchor>
            </w:drawing>
          </mc:Choice>
          <mc:Fallback>
            <w:pict>
              <v:rect style="position:absolute;rotation:-0;width:542.1pt;height:421.4pt;mso-wrap-distance-left:7.05pt;mso-wrap-distance-right:7.05pt;mso-wrap-distance-top:0pt;mso-wrap-distance-bottom:0pt;margin-top:-6.9pt;mso-position-vertical-relative:text;margin-left:-44.25pt;mso-position-horizontal:center;mso-position-horizontal-relative:margin">
                <v:textbox inset="0in,0in,0in,0in">
                  <w:txbxContent>
                    <w:tbl>
                      <w:tblPr>
                        <w:tblW w:w="10842" w:type="dxa"/>
                        <w:jc w:val="center"/>
                        <w:tblInd w:w="0" w:type="dxa"/>
                        <w:tblLayout w:type="fixed"/>
                        <w:tblCellMar>
                          <w:top w:w="0" w:type="dxa"/>
                          <w:left w:w="0" w:type="dxa"/>
                          <w:bottom w:w="0" w:type="dxa"/>
                          <w:right w:w="0" w:type="dxa"/>
                        </w:tblCellMar>
                      </w:tblPr>
                      <w:tblGrid>
                        <w:gridCol w:w="692"/>
                        <w:gridCol w:w="10150"/>
                      </w:tblGrid>
                      <w:tr>
                        <w:trPr>
                          <w:trHeight w:val="7501" w:hRule="atLeast"/>
                        </w:trPr>
                        <w:tc>
                          <w:tcPr>
                            <w:tcW w:w="692"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0"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Fonts w:eastAsia="Calibri" w:cs="Times New Roman"/>
                                <w:b/>
                                <w:bCs/>
                                <w:color w:val="014276"/>
                                <w:kern w:val="0"/>
                                <w:sz w:val="44"/>
                                <w:szCs w:val="44"/>
                                <w:lang w:val="fr-FR" w:eastAsia="en-US" w:bidi="ar-SA"/>
                              </w:rPr>
                              <w:t>PROC-01 : PROCÉDURE DE MISE EN SERVICE SÉCURISÉE DES SERVEURS LINUX</w:t>
                            </w:r>
                          </w:p>
                          <w:p>
                            <w:pPr>
                              <w:pStyle w:val="Normal"/>
                              <w:widowControl w:val="false"/>
                              <w:spacing w:before="240" w:after="96"/>
                              <w:rPr>
                                <w:rFonts w:ascii="Times New Roman" w:hAnsi="Times New Roman"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txbxContent>
                </v:textbox>
                <w10:wrap type="square"/>
              </v:rect>
            </w:pict>
          </mc:Fallback>
        </mc:AlternateContent>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Heading1"/>
        <w:spacing w:before="240" w:after="96"/>
        <w:rPr>
          <w:rFonts w:cs="Times New Roman"/>
          <w:caps w:val="false"/>
          <w:smallCaps w:val="false"/>
          <w:sz w:val="32"/>
          <w:szCs w:val="32"/>
          <w:u w:val="single"/>
        </w:rPr>
      </w:pPr>
      <w:r>
        <w:rPr>
          <w:rFonts w:cs="Times New Roman"/>
          <w:caps w:val="false"/>
          <w:smallCaps w:val="false"/>
          <w:sz w:val="32"/>
          <w:szCs w:val="32"/>
          <w:u w:val="single"/>
        </w:rPr>
      </w:r>
    </w:p>
    <w:p>
      <w:pPr>
        <w:pStyle w:val="Heading1"/>
        <w:spacing w:before="240" w:after="96"/>
        <w:rPr>
          <w:rFonts w:cs="Times New Roman"/>
          <w:caps w:val="false"/>
          <w:smallCaps w:val="false"/>
          <w:sz w:val="32"/>
          <w:szCs w:val="32"/>
          <w:u w:val="single"/>
        </w:rPr>
      </w:pPr>
      <w:bookmarkStart w:id="0" w:name="__RefHeading___Toc9101_2601441312"/>
      <w:bookmarkStart w:id="1" w:name="_Toc226029670"/>
      <w:bookmarkStart w:id="2" w:name="_Toc224992377"/>
      <w:bookmarkStart w:id="3" w:name="_Toc226109670"/>
      <w:bookmarkStart w:id="4" w:name="_Toc226029974"/>
      <w:bookmarkStart w:id="5" w:name="_Toc226200435"/>
      <w:bookmarkEnd w:id="0"/>
      <w:r>
        <w:rPr>
          <w:rFonts w:cs="Times New Roman"/>
          <w:caps w:val="false"/>
          <w:smallCaps w:val="false"/>
          <w:sz w:val="32"/>
          <w:szCs w:val="32"/>
          <w:u w:val="single"/>
        </w:rPr>
        <w:t>TABLE DES MATIERES</w:t>
      </w:r>
      <w:bookmarkEnd w:id="1"/>
      <w:bookmarkEnd w:id="2"/>
      <w:bookmarkEnd w:id="3"/>
      <w:bookmarkEnd w:id="4"/>
      <w:bookmarkEnd w:id="5"/>
    </w:p>
    <w:sdt>
      <w:sdtPr>
        <w:docPartObj>
          <w:docPartGallery w:val="Table of Contents"/>
          <w:docPartUnique w:val="true"/>
        </w:docPartObj>
      </w:sdtPr>
      <w:sdtContent>
        <w:p>
          <w:pPr>
            <w:pStyle w:val="Contents1"/>
            <w:tabs>
              <w:tab w:val="clear" w:pos="9376"/>
              <w:tab w:val="right" w:pos="9072" w:leader="dot"/>
            </w:tabs>
            <w:rPr/>
          </w:pPr>
          <w:r>
            <w:fldChar w:fldCharType="begin"/>
          </w:r>
          <w:r>
            <w:rPr>
              <w:rStyle w:val="IndexLink"/>
            </w:rPr>
            <w:instrText xml:space="preserve"> TOC \f \o "1-9" \h</w:instrText>
          </w:r>
          <w:r>
            <w:rPr>
              <w:rStyle w:val="IndexLink"/>
            </w:rPr>
            <w:fldChar w:fldCharType="separate"/>
          </w:r>
          <w:hyperlink w:anchor="__RefHeading___Toc9101_2601441312">
            <w:r>
              <w:rPr>
                <w:rStyle w:val="IndexLink"/>
              </w:rPr>
              <w:t>TABLE DES MATIERES</w:t>
              <w:tab/>
              <w:t>2</w:t>
            </w:r>
          </w:hyperlink>
        </w:p>
        <w:p>
          <w:pPr>
            <w:pStyle w:val="Contents1"/>
            <w:tabs>
              <w:tab w:val="clear" w:pos="9376"/>
              <w:tab w:val="right" w:pos="9072" w:leader="dot"/>
            </w:tabs>
            <w:rPr/>
          </w:pPr>
          <w:hyperlink w:anchor="__RefHeading___Toc9103_2601441312">
            <w:r>
              <w:rPr>
                <w:rStyle w:val="IndexLink"/>
              </w:rPr>
              <w:t>OBJECTIF ET PÉRIMÈTRE</w:t>
              <w:tab/>
              <w:t>5</w:t>
            </w:r>
          </w:hyperlink>
        </w:p>
        <w:p>
          <w:pPr>
            <w:pStyle w:val="Contents2"/>
            <w:tabs>
              <w:tab w:val="clear" w:pos="9062"/>
              <w:tab w:val="right" w:pos="9072" w:leader="dot"/>
            </w:tabs>
            <w:rPr/>
          </w:pPr>
          <w:hyperlink w:anchor="__RefHeading___Toc9105_2601441312">
            <w:r>
              <w:rPr>
                <w:rStyle w:val="IndexLink"/>
              </w:rPr>
              <w:t>Objectif de cette procédure</w:t>
              <w:tab/>
              <w:t>5</w:t>
            </w:r>
          </w:hyperlink>
        </w:p>
        <w:p>
          <w:pPr>
            <w:pStyle w:val="Contents2"/>
            <w:tabs>
              <w:tab w:val="clear" w:pos="9062"/>
              <w:tab w:val="right" w:pos="9072" w:leader="dot"/>
            </w:tabs>
            <w:rPr/>
          </w:pPr>
          <w:hyperlink w:anchor="__RefHeading___Toc9107_2601441312">
            <w:r>
              <w:rPr>
                <w:rStyle w:val="IndexLink"/>
              </w:rPr>
              <w:t>Périmètre d'application</w:t>
              <w:tab/>
              <w:t>6</w:t>
            </w:r>
          </w:hyperlink>
        </w:p>
        <w:p>
          <w:pPr>
            <w:pStyle w:val="Contents2"/>
            <w:tabs>
              <w:tab w:val="clear" w:pos="9062"/>
              <w:tab w:val="right" w:pos="9072" w:leader="dot"/>
            </w:tabs>
            <w:rPr/>
          </w:pPr>
          <w:hyperlink w:anchor="__RefHeading___Toc9109_2601441312">
            <w:r>
              <w:rPr>
                <w:rStyle w:val="IndexLink"/>
              </w:rPr>
              <w:t>Prérequis avant de commencer</w:t>
              <w:tab/>
              <w:t>6</w:t>
            </w:r>
          </w:hyperlink>
        </w:p>
        <w:p>
          <w:pPr>
            <w:pStyle w:val="Contents2"/>
            <w:tabs>
              <w:tab w:val="clear" w:pos="9062"/>
              <w:tab w:val="right" w:pos="9072" w:leader="dot"/>
            </w:tabs>
            <w:rPr/>
          </w:pPr>
          <w:hyperlink w:anchor="__RefHeading___Toc9111_2601441312">
            <w:r>
              <w:rPr>
                <w:rStyle w:val="IndexLink"/>
              </w:rPr>
              <w:t>Durée estimée de la procédure</w:t>
              <w:tab/>
              <w:t>7</w:t>
            </w:r>
          </w:hyperlink>
        </w:p>
        <w:p>
          <w:pPr>
            <w:pStyle w:val="Contents1"/>
            <w:tabs>
              <w:tab w:val="clear" w:pos="9376"/>
              <w:tab w:val="right" w:pos="9072" w:leader="dot"/>
            </w:tabs>
            <w:rPr/>
          </w:pPr>
          <w:hyperlink w:anchor="__RefHeading___Toc9113_2601441312">
            <w:r>
              <w:rPr>
                <w:rStyle w:val="IndexLink"/>
              </w:rPr>
              <w:t>PROVISIONNEMENT DU SERVEUR CHEZ OVH</w:t>
              <w:tab/>
              <w:t>7</w:t>
            </w:r>
          </w:hyperlink>
        </w:p>
        <w:p>
          <w:pPr>
            <w:pStyle w:val="Contents2"/>
            <w:tabs>
              <w:tab w:val="clear" w:pos="9062"/>
              <w:tab w:val="right" w:pos="9072" w:leader="dot"/>
            </w:tabs>
            <w:rPr/>
          </w:pPr>
          <w:hyperlink w:anchor="__RefHeading___Toc9115_2601441312">
            <w:r>
              <w:rPr>
                <w:rStyle w:val="IndexLink"/>
              </w:rPr>
              <w:t>Commande du serveur sur OVH Manager</w:t>
              <w:tab/>
              <w:t>7</w:t>
            </w:r>
          </w:hyperlink>
        </w:p>
        <w:p>
          <w:pPr>
            <w:pStyle w:val="Contents2"/>
            <w:tabs>
              <w:tab w:val="clear" w:pos="9062"/>
              <w:tab w:val="right" w:pos="9072" w:leader="dot"/>
            </w:tabs>
            <w:rPr/>
          </w:pPr>
          <w:hyperlink w:anchor="__RefHeading___Toc9117_2601441312">
            <w:r>
              <w:rPr>
                <w:rStyle w:val="IndexLink"/>
              </w:rPr>
              <w:t>Réception des identifiants de connexion</w:t>
              <w:tab/>
              <w:t>9</w:t>
            </w:r>
          </w:hyperlink>
        </w:p>
        <w:p>
          <w:pPr>
            <w:pStyle w:val="Contents1"/>
            <w:tabs>
              <w:tab w:val="clear" w:pos="9376"/>
              <w:tab w:val="right" w:pos="9072" w:leader="dot"/>
            </w:tabs>
            <w:rPr/>
          </w:pPr>
          <w:hyperlink w:anchor="__RefHeading___Toc9119_2601441312">
            <w:r>
              <w:rPr>
                <w:rStyle w:val="IndexLink"/>
              </w:rPr>
              <w:t>PREMIER ACCÈS ET VÉRIFICATIONS INITIALES</w:t>
              <w:tab/>
              <w:t>9</w:t>
            </w:r>
          </w:hyperlink>
        </w:p>
        <w:p>
          <w:pPr>
            <w:pStyle w:val="Contents2"/>
            <w:tabs>
              <w:tab w:val="clear" w:pos="9062"/>
              <w:tab w:val="right" w:pos="9072" w:leader="dot"/>
            </w:tabs>
            <w:rPr/>
          </w:pPr>
          <w:hyperlink w:anchor="__RefHeading___Toc9121_2601441312">
            <w:r>
              <w:rPr>
                <w:rStyle w:val="IndexLink"/>
              </w:rPr>
              <w:t>Connexion SSH initiale au serveur</w:t>
              <w:tab/>
              <w:t>9</w:t>
            </w:r>
          </w:hyperlink>
        </w:p>
        <w:p>
          <w:pPr>
            <w:pStyle w:val="Contents3"/>
            <w:tabs>
              <w:tab w:val="clear" w:pos="8505"/>
              <w:tab w:val="right" w:pos="9072" w:leader="dot"/>
            </w:tabs>
            <w:rPr/>
          </w:pPr>
          <w:hyperlink w:anchor="__RefHeading___Toc4817_1660568690">
            <w:r>
              <w:rPr>
                <w:rStyle w:val="IndexLink"/>
              </w:rPr>
              <w:t>ATTENTION : Cette première connexion en tant que root est une exception temporaire.</w:t>
              <w:tab/>
              <w:t>9</w:t>
            </w:r>
          </w:hyperlink>
        </w:p>
        <w:p>
          <w:pPr>
            <w:pStyle w:val="Contents2"/>
            <w:tabs>
              <w:tab w:val="clear" w:pos="9062"/>
              <w:tab w:val="right" w:pos="9072" w:leader="dot"/>
            </w:tabs>
            <w:rPr/>
          </w:pPr>
          <w:hyperlink w:anchor="__RefHeading___Toc9125_2601441312">
            <w:r>
              <w:rPr>
                <w:rStyle w:val="IndexLink"/>
              </w:rPr>
              <w:t>Vérifications des caractéristiques du serveur</w:t>
              <w:tab/>
              <w:t>10</w:t>
            </w:r>
          </w:hyperlink>
        </w:p>
        <w:p>
          <w:pPr>
            <w:pStyle w:val="Contents1"/>
            <w:tabs>
              <w:tab w:val="clear" w:pos="9376"/>
              <w:tab w:val="right" w:pos="9072" w:leader="dot"/>
            </w:tabs>
            <w:rPr/>
          </w:pPr>
          <w:hyperlink w:anchor="__RefHeading___Toc9127_2601441312">
            <w:r>
              <w:rPr>
                <w:rStyle w:val="IndexLink"/>
              </w:rPr>
              <w:t>CONFIGURATION DE SÉCURITÉ INITIALE</w:t>
              <w:tab/>
              <w:t>11</w:t>
            </w:r>
          </w:hyperlink>
        </w:p>
        <w:p>
          <w:pPr>
            <w:pStyle w:val="Contents2"/>
            <w:tabs>
              <w:tab w:val="clear" w:pos="9062"/>
              <w:tab w:val="right" w:pos="9072" w:leader="dot"/>
            </w:tabs>
            <w:rPr/>
          </w:pPr>
          <w:hyperlink w:anchor="__RefHeading___Toc9129_2601441312">
            <w:r>
              <w:rPr>
                <w:rStyle w:val="IndexLink"/>
              </w:rPr>
              <w:t>Changement du mot de passe root</w:t>
              <w:tab/>
              <w:t>11</w:t>
            </w:r>
          </w:hyperlink>
        </w:p>
        <w:p>
          <w:pPr>
            <w:pStyle w:val="Contents2"/>
            <w:tabs>
              <w:tab w:val="clear" w:pos="9062"/>
              <w:tab w:val="right" w:pos="9072" w:leader="dot"/>
            </w:tabs>
            <w:rPr/>
          </w:pPr>
          <w:hyperlink w:anchor="__RefHeading___Toc9131_2601441312">
            <w:r>
              <w:rPr>
                <w:rStyle w:val="IndexLink"/>
              </w:rPr>
              <w:t>Mise à jour initiale du système</w:t>
              <w:tab/>
              <w:t>12</w:t>
            </w:r>
          </w:hyperlink>
        </w:p>
        <w:p>
          <w:pPr>
            <w:pStyle w:val="Contents2"/>
            <w:tabs>
              <w:tab w:val="clear" w:pos="9062"/>
              <w:tab w:val="right" w:pos="9072" w:leader="dot"/>
            </w:tabs>
            <w:rPr/>
          </w:pPr>
          <w:hyperlink w:anchor="__RefHeading___Toc9133_2601441312">
            <w:r>
              <w:rPr>
                <w:rStyle w:val="IndexLink"/>
              </w:rPr>
              <w:t>Configuration des paramètres système de base</w:t>
              <w:tab/>
              <w:t>12</w:t>
            </w:r>
          </w:hyperlink>
        </w:p>
        <w:p>
          <w:pPr>
            <w:pStyle w:val="Contents3"/>
            <w:tabs>
              <w:tab w:val="clear" w:pos="8505"/>
              <w:tab w:val="right" w:pos="9072" w:leader="dot"/>
            </w:tabs>
            <w:rPr/>
          </w:pPr>
          <w:hyperlink w:anchor="__RefHeading___Toc9135_2601441312">
            <w:r>
              <w:rPr>
                <w:rStyle w:val="IndexLink"/>
              </w:rPr>
              <w:t>Configuration du nom d'hôte (hostname)</w:t>
              <w:tab/>
              <w:t>12</w:t>
            </w:r>
          </w:hyperlink>
        </w:p>
        <w:p>
          <w:pPr>
            <w:pStyle w:val="Contents3"/>
            <w:tabs>
              <w:tab w:val="clear" w:pos="8505"/>
              <w:tab w:val="right" w:pos="9072" w:leader="dot"/>
            </w:tabs>
            <w:rPr/>
          </w:pPr>
          <w:hyperlink w:anchor="__RefHeading___Toc9137_2601441312">
            <w:r>
              <w:rPr>
                <w:rStyle w:val="IndexLink"/>
              </w:rPr>
              <w:t>Configuration du fuseau horaire et de la synchronisation NTP</w:t>
              <w:tab/>
              <w:t>13</w:t>
            </w:r>
          </w:hyperlink>
        </w:p>
        <w:p>
          <w:pPr>
            <w:pStyle w:val="Contents3"/>
            <w:tabs>
              <w:tab w:val="clear" w:pos="8505"/>
              <w:tab w:val="right" w:pos="9072" w:leader="dot"/>
            </w:tabs>
            <w:rPr/>
          </w:pPr>
          <w:hyperlink w:anchor="__RefHeading___Toc9139_2601441312">
            <w:r>
              <w:rPr>
                <w:rStyle w:val="IndexLink"/>
              </w:rPr>
              <w:t>Configuration de la locale (langue système)</w:t>
              <w:tab/>
              <w:t>13</w:t>
            </w:r>
          </w:hyperlink>
        </w:p>
        <w:p>
          <w:pPr>
            <w:pStyle w:val="Contents1"/>
            <w:tabs>
              <w:tab w:val="clear" w:pos="9376"/>
              <w:tab w:val="right" w:pos="9072" w:leader="dot"/>
            </w:tabs>
            <w:rPr/>
          </w:pPr>
          <w:hyperlink w:anchor="__RefHeading___Toc9141_2601441312">
            <w:r>
              <w:rPr>
                <w:rStyle w:val="IndexLink"/>
              </w:rPr>
              <w:t>GESTION DES COMPTES UTILISATEURS</w:t>
              <w:tab/>
              <w:t>13</w:t>
            </w:r>
          </w:hyperlink>
        </w:p>
        <w:p>
          <w:pPr>
            <w:pStyle w:val="Contents2"/>
            <w:tabs>
              <w:tab w:val="clear" w:pos="9062"/>
              <w:tab w:val="right" w:pos="9072" w:leader="dot"/>
            </w:tabs>
            <w:rPr/>
          </w:pPr>
          <w:hyperlink w:anchor="__RefHeading___Toc9143_2601441312">
            <w:r>
              <w:rPr>
                <w:rStyle w:val="IndexLink"/>
              </w:rPr>
              <w:t>Création du compte administrateur nominatif</w:t>
              <w:tab/>
              <w:t>13</w:t>
            </w:r>
          </w:hyperlink>
        </w:p>
        <w:p>
          <w:pPr>
            <w:pStyle w:val="Contents2"/>
            <w:tabs>
              <w:tab w:val="clear" w:pos="9062"/>
              <w:tab w:val="right" w:pos="9072" w:leader="dot"/>
            </w:tabs>
            <w:rPr/>
          </w:pPr>
          <w:hyperlink w:anchor="__RefHeading___Toc9145_2601441312">
            <w:r>
              <w:rPr>
                <w:rStyle w:val="IndexLink"/>
              </w:rPr>
              <w:t>Configuration de la politique de mots de passe</w:t>
              <w:tab/>
              <w:t>14</w:t>
            </w:r>
          </w:hyperlink>
        </w:p>
        <w:p>
          <w:pPr>
            <w:pStyle w:val="Contents1"/>
            <w:tabs>
              <w:tab w:val="clear" w:pos="9376"/>
              <w:tab w:val="right" w:pos="9072" w:leader="dot"/>
            </w:tabs>
            <w:rPr/>
          </w:pPr>
          <w:hyperlink w:anchor="__RefHeading___Toc9147_2601441312">
            <w:r>
              <w:rPr>
                <w:rStyle w:val="IndexLink"/>
              </w:rPr>
              <w:t>CONFIGURATION SSH SÉCURISÉE</w:t>
              <w:tab/>
              <w:t>14</w:t>
            </w:r>
          </w:hyperlink>
        </w:p>
        <w:p>
          <w:pPr>
            <w:pStyle w:val="Contents2"/>
            <w:tabs>
              <w:tab w:val="clear" w:pos="9062"/>
              <w:tab w:val="right" w:pos="9072" w:leader="dot"/>
            </w:tabs>
            <w:rPr/>
          </w:pPr>
          <w:hyperlink w:anchor="__RefHeading___Toc9149_2601441312">
            <w:r>
              <w:rPr>
                <w:rStyle w:val="IndexLink"/>
              </w:rPr>
              <w:t>Génération et déploiement des clés SSH</w:t>
              <w:tab/>
              <w:t>14</w:t>
            </w:r>
          </w:hyperlink>
        </w:p>
        <w:p>
          <w:pPr>
            <w:pStyle w:val="Contents2"/>
            <w:tabs>
              <w:tab w:val="clear" w:pos="9062"/>
              <w:tab w:val="right" w:pos="9072" w:leader="dot"/>
            </w:tabs>
            <w:rPr/>
          </w:pPr>
          <w:hyperlink w:anchor="__RefHeading___Toc9151_2601441312">
            <w:r>
              <w:rPr>
                <w:rStyle w:val="IndexLink"/>
              </w:rPr>
              <w:t>Configuration du serveur SSH pour une sécurité maximale</w:t>
              <w:tab/>
              <w:t>15</w:t>
            </w:r>
          </w:hyperlink>
        </w:p>
        <w:p>
          <w:pPr>
            <w:pStyle w:val="Contents1"/>
            <w:tabs>
              <w:tab w:val="clear" w:pos="9376"/>
              <w:tab w:val="right" w:pos="9072" w:leader="dot"/>
            </w:tabs>
            <w:rPr/>
          </w:pPr>
          <w:hyperlink w:anchor="__RefHeading___Toc9155_2601441312">
            <w:r>
              <w:rPr>
                <w:rStyle w:val="IndexLink"/>
              </w:rPr>
              <w:t>CONFIGURATION DU PARE-FEU UFW</w:t>
              <w:tab/>
              <w:t>16</w:t>
            </w:r>
          </w:hyperlink>
        </w:p>
        <w:p>
          <w:pPr>
            <w:pStyle w:val="Contents2"/>
            <w:tabs>
              <w:tab w:val="clear" w:pos="9062"/>
              <w:tab w:val="right" w:pos="9072" w:leader="dot"/>
            </w:tabs>
            <w:rPr/>
          </w:pPr>
          <w:hyperlink w:anchor="__RefHeading___Toc9157_2601441312">
            <w:r>
              <w:rPr>
                <w:rStyle w:val="IndexLink"/>
              </w:rPr>
              <w:t>Installation et configuration initiale de UFW</w:t>
              <w:tab/>
              <w:t>16</w:t>
            </w:r>
          </w:hyperlink>
        </w:p>
        <w:p>
          <w:pPr>
            <w:pStyle w:val="Contents2"/>
            <w:tabs>
              <w:tab w:val="clear" w:pos="9062"/>
              <w:tab w:val="right" w:pos="9072" w:leader="dot"/>
            </w:tabs>
            <w:rPr/>
          </w:pPr>
          <w:hyperlink w:anchor="__RefHeading___Toc9159_2601441312">
            <w:r>
              <w:rPr>
                <w:rStyle w:val="IndexLink"/>
              </w:rPr>
              <w:t>Ajout de règles spécifiques selon le rôle du serveur</w:t>
              <w:tab/>
              <w:t>17</w:t>
            </w:r>
          </w:hyperlink>
        </w:p>
        <w:p>
          <w:pPr>
            <w:pStyle w:val="Contents1"/>
            <w:tabs>
              <w:tab w:val="clear" w:pos="9376"/>
              <w:tab w:val="right" w:pos="9072" w:leader="dot"/>
            </w:tabs>
            <w:rPr/>
          </w:pPr>
          <w:hyperlink w:anchor="__RefHeading___Toc9161_2601441312">
            <w:r>
              <w:rPr>
                <w:rStyle w:val="IndexLink"/>
              </w:rPr>
              <w:t>PROTECTION ANTI-BRUTEFORCE AVEC FAIL2BAN</w:t>
              <w:tab/>
              <w:t>17</w:t>
            </w:r>
          </w:hyperlink>
        </w:p>
        <w:p>
          <w:pPr>
            <w:pStyle w:val="Contents2"/>
            <w:tabs>
              <w:tab w:val="clear" w:pos="9062"/>
              <w:tab w:val="right" w:pos="9072" w:leader="dot"/>
            </w:tabs>
            <w:rPr/>
          </w:pPr>
          <w:hyperlink w:anchor="__RefHeading___Toc9163_2601441312">
            <w:r>
              <w:rPr>
                <w:rStyle w:val="IndexLink"/>
              </w:rPr>
              <w:t>Installation et configuration de Fail2Ban</w:t>
              <w:tab/>
              <w:t>17</w:t>
            </w:r>
          </w:hyperlink>
        </w:p>
        <w:p>
          <w:pPr>
            <w:pStyle w:val="Contents1"/>
            <w:tabs>
              <w:tab w:val="clear" w:pos="9376"/>
              <w:tab w:val="right" w:pos="9072" w:leader="dot"/>
            </w:tabs>
            <w:rPr/>
          </w:pPr>
          <w:hyperlink w:anchor="__RefHeading___Toc9165_2601441312">
            <w:r>
              <w:rPr>
                <w:rStyle w:val="IndexLink"/>
              </w:rPr>
              <w:t>CONFIGURATION DES MISES À JOUR AUTOMATIQUES</w:t>
              <w:tab/>
              <w:t>18</w:t>
            </w:r>
          </w:hyperlink>
        </w:p>
        <w:p>
          <w:pPr>
            <w:pStyle w:val="Contents2"/>
            <w:tabs>
              <w:tab w:val="clear" w:pos="9062"/>
              <w:tab w:val="right" w:pos="9072" w:leader="dot"/>
            </w:tabs>
            <w:rPr/>
          </w:pPr>
          <w:hyperlink w:anchor="__RefHeading___Toc9167_2601441312">
            <w:r>
              <w:rPr>
                <w:rStyle w:val="IndexLink"/>
              </w:rPr>
              <w:t>Installation et configuration de unattended-upgrades</w:t>
              <w:tab/>
              <w:t>18</w:t>
            </w:r>
          </w:hyperlink>
        </w:p>
        <w:p>
          <w:pPr>
            <w:pStyle w:val="Contents1"/>
            <w:tabs>
              <w:tab w:val="clear" w:pos="9376"/>
              <w:tab w:val="right" w:pos="9072" w:leader="dot"/>
            </w:tabs>
            <w:rPr/>
          </w:pPr>
          <w:hyperlink w:anchor="__RefHeading___Toc9169_2601441312">
            <w:r>
              <w:rPr>
                <w:rStyle w:val="IndexLink"/>
              </w:rPr>
              <w:t>GESTION DES LOGS</w:t>
              <w:tab/>
              <w:t>18</w:t>
            </w:r>
          </w:hyperlink>
        </w:p>
        <w:p>
          <w:pPr>
            <w:pStyle w:val="Contents2"/>
            <w:tabs>
              <w:tab w:val="clear" w:pos="9062"/>
              <w:tab w:val="right" w:pos="9072" w:leader="dot"/>
            </w:tabs>
            <w:rPr/>
          </w:pPr>
          <w:hyperlink w:anchor="__RefHeading___Toc9171_2601441312">
            <w:r>
              <w:rPr>
                <w:rStyle w:val="IndexLink"/>
              </w:rPr>
              <w:t>Configuration de la rotation des logs avec logrotate</w:t>
              <w:tab/>
              <w:t>18</w:t>
            </w:r>
          </w:hyperlink>
        </w:p>
        <w:p>
          <w:pPr>
            <w:pStyle w:val="Contents1"/>
            <w:tabs>
              <w:tab w:val="clear" w:pos="9376"/>
              <w:tab w:val="right" w:pos="9072" w:leader="dot"/>
            </w:tabs>
            <w:rPr/>
          </w:pPr>
          <w:hyperlink w:anchor="__RefHeading___Toc9173_2601441312">
            <w:r>
              <w:rPr>
                <w:rStyle w:val="IndexLink"/>
              </w:rPr>
              <w:t>DURCISSEMENT SYSTÈME (HARDENING)</w:t>
              <w:tab/>
              <w:t>19</w:t>
            </w:r>
          </w:hyperlink>
        </w:p>
        <w:p>
          <w:pPr>
            <w:pStyle w:val="Contents2"/>
            <w:tabs>
              <w:tab w:val="clear" w:pos="9062"/>
              <w:tab w:val="right" w:pos="9072" w:leader="dot"/>
            </w:tabs>
            <w:rPr/>
          </w:pPr>
          <w:hyperlink w:anchor="__RefHeading___Toc9175_2601441312">
            <w:r>
              <w:rPr>
                <w:rStyle w:val="IndexLink"/>
              </w:rPr>
              <w:t>Configuration des paramètres kernel de sécurité</w:t>
              <w:tab/>
              <w:t>19</w:t>
            </w:r>
          </w:hyperlink>
        </w:p>
        <w:p>
          <w:pPr>
            <w:pStyle w:val="Contents2"/>
            <w:tabs>
              <w:tab w:val="clear" w:pos="9062"/>
              <w:tab w:val="right" w:pos="9072" w:leader="dot"/>
            </w:tabs>
            <w:rPr/>
          </w:pPr>
          <w:hyperlink w:anchor="__RefHeading___Toc9177_2601441312">
            <w:r>
              <w:rPr>
                <w:rStyle w:val="IndexLink"/>
              </w:rPr>
              <w:t>Désactivation des services inutiles</w:t>
              <w:tab/>
              <w:t>19</w:t>
            </w:r>
          </w:hyperlink>
        </w:p>
        <w:p>
          <w:pPr>
            <w:pStyle w:val="Contents2"/>
            <w:tabs>
              <w:tab w:val="clear" w:pos="9062"/>
              <w:tab w:val="right" w:pos="9072" w:leader="dot"/>
            </w:tabs>
            <w:rPr/>
          </w:pPr>
          <w:hyperlink w:anchor="__RefHeading___Toc9179_2601441312">
            <w:r>
              <w:rPr>
                <w:rStyle w:val="IndexLink"/>
              </w:rPr>
              <w:t>Protection des fichiers sensibles du système</w:t>
              <w:tab/>
              <w:t>20</w:t>
            </w:r>
          </w:hyperlink>
        </w:p>
        <w:p>
          <w:pPr>
            <w:pStyle w:val="Contents1"/>
            <w:tabs>
              <w:tab w:val="clear" w:pos="9376"/>
              <w:tab w:val="right" w:pos="9072" w:leader="dot"/>
            </w:tabs>
            <w:rPr/>
          </w:pPr>
          <w:hyperlink w:anchor="__RefHeading___Toc9181_2601441312">
            <w:r>
              <w:rPr>
                <w:rStyle w:val="IndexLink"/>
              </w:rPr>
              <w:t>INSTALLATION DES PAQUETS DE BASE OBLIGATOIRES</w:t>
              <w:tab/>
              <w:t>20</w:t>
            </w:r>
          </w:hyperlink>
        </w:p>
        <w:p>
          <w:pPr>
            <w:pStyle w:val="Contents2"/>
            <w:tabs>
              <w:tab w:val="clear" w:pos="9062"/>
              <w:tab w:val="right" w:pos="9072" w:leader="dot"/>
            </w:tabs>
            <w:rPr/>
          </w:pPr>
          <w:hyperlink w:anchor="__RefHeading___Toc9183_2601441312">
            <w:r>
              <w:rPr>
                <w:rStyle w:val="IndexLink"/>
              </w:rPr>
              <w:t>Installation des outils système essentiels</w:t>
              <w:tab/>
              <w:t>20</w:t>
            </w:r>
          </w:hyperlink>
        </w:p>
        <w:p>
          <w:pPr>
            <w:pStyle w:val="Contents1"/>
            <w:tabs>
              <w:tab w:val="clear" w:pos="9376"/>
              <w:tab w:val="right" w:pos="9072" w:leader="dot"/>
            </w:tabs>
            <w:rPr/>
          </w:pPr>
          <w:hyperlink w:anchor="__RefHeading___Toc9185_2601441312">
            <w:r>
              <w:rPr>
                <w:rStyle w:val="IndexLink"/>
              </w:rPr>
              <w:t>CONFIGURATION SPÉCIFIQUE POUR LES DONNÉES PERSONNELLES (SI APPLICABLE)</w:t>
              <w:tab/>
              <w:t>20</w:t>
            </w:r>
          </w:hyperlink>
        </w:p>
        <w:p>
          <w:pPr>
            <w:pStyle w:val="Contents2"/>
            <w:tabs>
              <w:tab w:val="clear" w:pos="9062"/>
              <w:tab w:val="right" w:pos="9072" w:leader="dot"/>
            </w:tabs>
            <w:rPr/>
          </w:pPr>
          <w:hyperlink w:anchor="__RefHeading___Toc9187_2601441312">
            <w:r>
              <w:rPr>
                <w:rStyle w:val="IndexLink"/>
              </w:rPr>
              <w:t>Détermination de la classification des données</w:t>
              <w:tab/>
              <w:t>20</w:t>
            </w:r>
          </w:hyperlink>
        </w:p>
        <w:p>
          <w:pPr>
            <w:pStyle w:val="Contents2"/>
            <w:tabs>
              <w:tab w:val="clear" w:pos="9062"/>
              <w:tab w:val="right" w:pos="9072" w:leader="dot"/>
            </w:tabs>
            <w:rPr/>
          </w:pPr>
          <w:hyperlink w:anchor="__RefHeading___Toc9189_2601441312">
            <w:r>
              <w:rPr>
                <w:rStyle w:val="IndexLink"/>
              </w:rPr>
              <w:t>Application des mesures supplémentaires selon le document DOC-REF-03</w:t>
              <w:tab/>
              <w:t>21</w:t>
            </w:r>
          </w:hyperlink>
        </w:p>
        <w:p>
          <w:pPr>
            <w:pStyle w:val="Contents1"/>
            <w:tabs>
              <w:tab w:val="clear" w:pos="9376"/>
              <w:tab w:val="right" w:pos="9072" w:leader="dot"/>
            </w:tabs>
            <w:rPr/>
          </w:pPr>
          <w:hyperlink w:anchor="__RefHeading___Toc9191_2601441312">
            <w:r>
              <w:rPr>
                <w:rStyle w:val="IndexLink"/>
              </w:rPr>
              <w:t>DOCUMENTATION DU SERVEUR</w:t>
              <w:tab/>
              <w:t>21</w:t>
            </w:r>
          </w:hyperlink>
        </w:p>
        <w:p>
          <w:pPr>
            <w:pStyle w:val="Contents2"/>
            <w:tabs>
              <w:tab w:val="clear" w:pos="9062"/>
              <w:tab w:val="right" w:pos="9072" w:leader="dot"/>
            </w:tabs>
            <w:rPr/>
          </w:pPr>
          <w:hyperlink w:anchor="__RefHeading___Toc9193_2601441312">
            <w:r>
              <w:rPr>
                <w:rStyle w:val="IndexLink"/>
              </w:rPr>
              <w:t>Enregistrement dans le registre central des serveurs</w:t>
              <w:tab/>
              <w:t>21</w:t>
            </w:r>
          </w:hyperlink>
        </w:p>
        <w:p>
          <w:pPr>
            <w:pStyle w:val="Contents2"/>
            <w:tabs>
              <w:tab w:val="clear" w:pos="9062"/>
              <w:tab w:val="right" w:pos="9072" w:leader="dot"/>
            </w:tabs>
            <w:rPr/>
          </w:pPr>
          <w:hyperlink w:anchor="__RefHeading___Toc9195_2601441312">
            <w:r>
              <w:rPr>
                <w:rStyle w:val="IndexLink"/>
              </w:rPr>
              <w:t>Création de la documentation technique du serveur</w:t>
              <w:tab/>
              <w:t>22</w:t>
            </w:r>
          </w:hyperlink>
        </w:p>
        <w:p>
          <w:pPr>
            <w:pStyle w:val="Contents1"/>
            <w:tabs>
              <w:tab w:val="clear" w:pos="9376"/>
              <w:tab w:val="right" w:pos="9072" w:leader="dot"/>
            </w:tabs>
            <w:rPr/>
          </w:pPr>
          <w:hyperlink w:anchor="__RefHeading___Toc9197_2601441312">
            <w:r>
              <w:rPr>
                <w:rStyle w:val="IndexLink"/>
              </w:rPr>
              <w:t>TESTS DE VALIDATION</w:t>
              <w:tab/>
              <w:t>22</w:t>
            </w:r>
          </w:hyperlink>
        </w:p>
        <w:p>
          <w:pPr>
            <w:pStyle w:val="Contents2"/>
            <w:tabs>
              <w:tab w:val="clear" w:pos="9062"/>
              <w:tab w:val="right" w:pos="9072" w:leader="dot"/>
            </w:tabs>
            <w:rPr/>
          </w:pPr>
          <w:hyperlink w:anchor="__RefHeading___Toc9199_2601441312">
            <w:r>
              <w:rPr>
                <w:rStyle w:val="IndexLink"/>
              </w:rPr>
              <w:t>Tests de sécurité obligatoires</w:t>
              <w:tab/>
              <w:t>22</w:t>
            </w:r>
          </w:hyperlink>
        </w:p>
        <w:p>
          <w:pPr>
            <w:pStyle w:val="Contents3"/>
            <w:tabs>
              <w:tab w:val="clear" w:pos="8505"/>
              <w:tab w:val="right" w:pos="9072" w:leader="dot"/>
            </w:tabs>
            <w:rPr/>
          </w:pPr>
          <w:hyperlink w:anchor="__RefHeading___Toc9201_2601441312">
            <w:r>
              <w:rPr>
                <w:rStyle w:val="IndexLink"/>
              </w:rPr>
              <w:t>Test 1 : Vérification complète de la configuration SSH</w:t>
              <w:tab/>
              <w:t>22</w:t>
            </w:r>
          </w:hyperlink>
        </w:p>
        <w:p>
          <w:pPr>
            <w:pStyle w:val="Contents3"/>
            <w:tabs>
              <w:tab w:val="clear" w:pos="8505"/>
              <w:tab w:val="right" w:pos="9072" w:leader="dot"/>
            </w:tabs>
            <w:rPr/>
          </w:pPr>
          <w:hyperlink w:anchor="__RefHeading___Toc9203_2601441312">
            <w:r>
              <w:rPr>
                <w:rStyle w:val="IndexLink"/>
              </w:rPr>
              <w:t>Test 2 : Scan des ports ouverts depuis l'extérieur</w:t>
              <w:tab/>
              <w:t>23</w:t>
            </w:r>
          </w:hyperlink>
        </w:p>
        <w:p>
          <w:pPr>
            <w:pStyle w:val="Contents3"/>
            <w:tabs>
              <w:tab w:val="clear" w:pos="8505"/>
              <w:tab w:val="right" w:pos="9072" w:leader="dot"/>
            </w:tabs>
            <w:rPr/>
          </w:pPr>
          <w:hyperlink w:anchor="__RefHeading___Toc9205_2601441312">
            <w:r>
              <w:rPr>
                <w:rStyle w:val="IndexLink"/>
              </w:rPr>
              <w:t>Test 3 : Vérification du fonctionnement de Fail2Ban</w:t>
              <w:tab/>
              <w:t>23</w:t>
            </w:r>
          </w:hyperlink>
        </w:p>
        <w:p>
          <w:pPr>
            <w:pStyle w:val="Contents3"/>
            <w:tabs>
              <w:tab w:val="clear" w:pos="8505"/>
              <w:tab w:val="right" w:pos="9072" w:leader="dot"/>
            </w:tabs>
            <w:rPr/>
          </w:pPr>
          <w:hyperlink w:anchor="__RefHeading___Toc9209_2601441312">
            <w:r>
              <w:rPr>
                <w:rStyle w:val="IndexLink"/>
              </w:rPr>
              <w:t>Test 4 : Vérification de la configuration des mises à jour automatiques</w:t>
              <w:tab/>
              <w:t>23</w:t>
            </w:r>
          </w:hyperlink>
        </w:p>
        <w:p>
          <w:pPr>
            <w:pStyle w:val="Contents3"/>
            <w:tabs>
              <w:tab w:val="clear" w:pos="8505"/>
              <w:tab w:val="right" w:pos="9072" w:leader="dot"/>
            </w:tabs>
            <w:rPr/>
          </w:pPr>
          <w:hyperlink w:anchor="__RefHeading___Toc9211_2601441312">
            <w:r>
              <w:rPr>
                <w:rStyle w:val="IndexLink"/>
              </w:rPr>
              <w:t>Test 5 : Vérification de l'accessibilité et de la rotation des logs</w:t>
              <w:tab/>
              <w:t>23</w:t>
            </w:r>
          </w:hyperlink>
        </w:p>
        <w:p>
          <w:pPr>
            <w:pStyle w:val="Contents2"/>
            <w:tabs>
              <w:tab w:val="clear" w:pos="9062"/>
              <w:tab w:val="right" w:pos="9072" w:leader="dot"/>
            </w:tabs>
            <w:rPr/>
          </w:pPr>
          <w:hyperlink w:anchor="__RefHeading___Toc9213_2601441312">
            <w:r>
              <w:rPr>
                <w:rStyle w:val="IndexLink"/>
              </w:rPr>
              <w:t>Utilisation du script d'audit automatique</w:t>
              <w:tab/>
              <w:t>24</w:t>
            </w:r>
          </w:hyperlink>
        </w:p>
        <w:p>
          <w:pPr>
            <w:pStyle w:val="Contents2"/>
            <w:tabs>
              <w:tab w:val="clear" w:pos="9062"/>
              <w:tab w:val="right" w:pos="9072" w:leader="dot"/>
            </w:tabs>
            <w:rPr/>
          </w:pPr>
          <w:hyperlink w:anchor="__RefHeading___Toc9215_2601441312">
            <w:r>
              <w:rPr>
                <w:rStyle w:val="IndexLink"/>
              </w:rPr>
              <w:t>Tests applicatifs (si des applications sont déjà installées)</w:t>
              <w:tab/>
              <w:t>24</w:t>
            </w:r>
          </w:hyperlink>
        </w:p>
        <w:p>
          <w:pPr>
            <w:pStyle w:val="Contents1"/>
            <w:tabs>
              <w:tab w:val="clear" w:pos="9376"/>
              <w:tab w:val="right" w:pos="9072" w:leader="dot"/>
            </w:tabs>
            <w:rPr/>
          </w:pPr>
          <w:hyperlink w:anchor="__RefHeading___Toc9217_2601441312">
            <w:r>
              <w:rPr>
                <w:rStyle w:val="IndexLink"/>
              </w:rPr>
              <w:t>CONFIGURATION DES SAUVEGARDES (OBLIGATOIRE)</w:t>
              <w:tab/>
              <w:t>24</w:t>
            </w:r>
          </w:hyperlink>
        </w:p>
        <w:p>
          <w:pPr>
            <w:pStyle w:val="Contents2"/>
            <w:tabs>
              <w:tab w:val="clear" w:pos="9062"/>
              <w:tab w:val="right" w:pos="9072" w:leader="dot"/>
            </w:tabs>
            <w:rPr/>
          </w:pPr>
          <w:hyperlink w:anchor="__RefHeading___Toc9219_2601441312">
            <w:r>
              <w:rPr>
                <w:rStyle w:val="IndexLink"/>
              </w:rPr>
              <w:t>Détermination de la stratégie de sauvegarde selon la criticité</w:t>
              <w:tab/>
              <w:t>24</w:t>
            </w:r>
          </w:hyperlink>
        </w:p>
        <w:p>
          <w:pPr>
            <w:pStyle w:val="Contents2"/>
            <w:tabs>
              <w:tab w:val="clear" w:pos="9062"/>
              <w:tab w:val="right" w:pos="9072" w:leader="dot"/>
            </w:tabs>
            <w:rPr/>
          </w:pPr>
          <w:hyperlink w:anchor="__RefHeading___Toc9221_2601441312">
            <w:r>
              <w:rPr>
                <w:rStyle w:val="IndexLink"/>
              </w:rPr>
              <w:t>Activation des snapshots automatiques OVH</w:t>
              <w:tab/>
              <w:t>25</w:t>
            </w:r>
          </w:hyperlink>
        </w:p>
        <w:p>
          <w:pPr>
            <w:pStyle w:val="Contents2"/>
            <w:tabs>
              <w:tab w:val="clear" w:pos="9062"/>
              <w:tab w:val="right" w:pos="9072" w:leader="dot"/>
            </w:tabs>
            <w:rPr/>
          </w:pPr>
          <w:hyperlink w:anchor="__RefHeading___Toc9223_2601441312">
            <w:r>
              <w:rPr>
                <w:rStyle w:val="IndexLink"/>
              </w:rPr>
              <w:t>Configuration du backup applicatif (obligatoire si données personnelles)</w:t>
              <w:tab/>
              <w:t>25</w:t>
            </w:r>
          </w:hyperlink>
        </w:p>
        <w:p>
          <w:pPr>
            <w:pStyle w:val="Contents1"/>
            <w:tabs>
              <w:tab w:val="clear" w:pos="9376"/>
              <w:tab w:val="right" w:pos="9072" w:leader="dot"/>
            </w:tabs>
            <w:rPr/>
          </w:pPr>
          <w:hyperlink w:anchor="__RefHeading___Toc9225_2601441312">
            <w:r>
              <w:rPr>
                <w:rStyle w:val="IndexLink"/>
              </w:rPr>
              <w:t>MISE EN PRODUCTION</w:t>
              <w:tab/>
              <w:t>25</w:t>
            </w:r>
          </w:hyperlink>
        </w:p>
        <w:p>
          <w:pPr>
            <w:pStyle w:val="Contents2"/>
            <w:tabs>
              <w:tab w:val="clear" w:pos="9062"/>
              <w:tab w:val="right" w:pos="9072" w:leader="dot"/>
            </w:tabs>
            <w:rPr/>
          </w:pPr>
          <w:hyperlink w:anchor="__RefHeading___Toc9227_2601441312">
            <w:r>
              <w:rPr>
                <w:rStyle w:val="IndexLink"/>
              </w:rPr>
              <w:t>Checklist finale de pré-production</w:t>
              <w:tab/>
              <w:t>25</w:t>
            </w:r>
          </w:hyperlink>
        </w:p>
        <w:p>
          <w:pPr>
            <w:pStyle w:val="Contents3"/>
            <w:tabs>
              <w:tab w:val="clear" w:pos="8505"/>
              <w:tab w:val="right" w:pos="9072" w:leader="dot"/>
            </w:tabs>
            <w:rPr/>
          </w:pPr>
          <w:hyperlink w:anchor="__RefHeading___Toc9229_2601441312">
            <w:r>
              <w:rPr>
                <w:rStyle w:val="IndexLink"/>
              </w:rPr>
              <w:t>Validation finale par les responsables</w:t>
              <w:tab/>
              <w:t>27</w:t>
            </w:r>
          </w:hyperlink>
        </w:p>
        <w:p>
          <w:pPr>
            <w:pStyle w:val="Contents2"/>
            <w:tabs>
              <w:tab w:val="clear" w:pos="9062"/>
              <w:tab w:val="right" w:pos="9072" w:leader="dot"/>
            </w:tabs>
            <w:rPr/>
          </w:pPr>
          <w:hyperlink w:anchor="__RefHeading___Toc9231_2601441312">
            <w:r>
              <w:rPr>
                <w:rStyle w:val="IndexLink"/>
              </w:rPr>
              <w:t>Communication de la mise en production</w:t>
              <w:tab/>
              <w:t>28</w:t>
            </w:r>
          </w:hyperlink>
        </w:p>
        <w:p>
          <w:pPr>
            <w:pStyle w:val="Contents1"/>
            <w:tabs>
              <w:tab w:val="clear" w:pos="9376"/>
              <w:tab w:val="right" w:pos="9072" w:leader="dot"/>
            </w:tabs>
            <w:rPr/>
          </w:pPr>
          <w:hyperlink w:anchor="__RefHeading___Toc9233_2601441312">
            <w:r>
              <w:rPr>
                <w:rStyle w:val="IndexLink"/>
              </w:rPr>
              <w:t>SUIVI POST-MISE EN SERVICE</w:t>
              <w:tab/>
              <w:t>29</w:t>
            </w:r>
          </w:hyperlink>
        </w:p>
        <w:p>
          <w:pPr>
            <w:pStyle w:val="Contents2"/>
            <w:tabs>
              <w:tab w:val="clear" w:pos="9062"/>
              <w:tab w:val="right" w:pos="9072" w:leader="dot"/>
            </w:tabs>
            <w:rPr/>
          </w:pPr>
          <w:hyperlink w:anchor="__RefHeading___Toc9235_2601441312">
            <w:r>
              <w:rPr>
                <w:rStyle w:val="IndexLink"/>
              </w:rPr>
              <w:t>Surveillance renforcée pendant la première semaine (J+1 à J+7)</w:t>
              <w:tab/>
              <w:t>29</w:t>
            </w:r>
          </w:hyperlink>
        </w:p>
        <w:p>
          <w:pPr>
            <w:pStyle w:val="Contents2"/>
            <w:tabs>
              <w:tab w:val="clear" w:pos="9062"/>
              <w:tab w:val="right" w:pos="9072" w:leader="dot"/>
            </w:tabs>
            <w:rPr/>
          </w:pPr>
          <w:hyperlink w:anchor="__RefHeading___Toc9237_2601441312">
            <w:r>
              <w:rPr>
                <w:rStyle w:val="IndexLink"/>
              </w:rPr>
              <w:t>Test de restauration obligatoire à J+7</w:t>
              <w:tab/>
              <w:t>30</w:t>
            </w:r>
          </w:hyperlink>
        </w:p>
        <w:p>
          <w:pPr>
            <w:pStyle w:val="Contents2"/>
            <w:tabs>
              <w:tab w:val="clear" w:pos="9062"/>
              <w:tab w:val="right" w:pos="9072" w:leader="dot"/>
            </w:tabs>
            <w:rPr/>
          </w:pPr>
          <w:hyperlink w:anchor="__RefHeading___Toc9239_2601441312">
            <w:r>
              <w:rPr>
                <w:rStyle w:val="IndexLink"/>
              </w:rPr>
              <w:t>Revue à 30 jours (J+30)</w:t>
              <w:tab/>
              <w:t>31</w:t>
            </w:r>
          </w:hyperlink>
        </w:p>
        <w:p>
          <w:pPr>
            <w:pStyle w:val="Contents1"/>
            <w:tabs>
              <w:tab w:val="clear" w:pos="9376"/>
              <w:tab w:val="right" w:pos="9072" w:leader="dot"/>
            </w:tabs>
            <w:rPr/>
          </w:pPr>
          <w:hyperlink w:anchor="__RefHeading___Toc9241_2601441312">
            <w:r>
              <w:rPr>
                <w:rStyle w:val="IndexLink"/>
              </w:rPr>
              <w:t>MAINTENANCE CONTINUE</w:t>
              <w:tab/>
              <w:t>32</w:t>
            </w:r>
          </w:hyperlink>
        </w:p>
        <w:p>
          <w:pPr>
            <w:pStyle w:val="Contents2"/>
            <w:tabs>
              <w:tab w:val="clear" w:pos="9062"/>
              <w:tab w:val="right" w:pos="9072" w:leader="dot"/>
            </w:tabs>
            <w:rPr/>
          </w:pPr>
          <w:hyperlink w:anchor="__RefHeading___Toc9243_2601441312">
            <w:r>
              <w:rPr>
                <w:rStyle w:val="IndexLink"/>
              </w:rPr>
              <w:t>Actions de maintenance mensuelle</w:t>
              <w:tab/>
              <w:t>32</w:t>
            </w:r>
          </w:hyperlink>
        </w:p>
        <w:p>
          <w:pPr>
            <w:pStyle w:val="Contents2"/>
            <w:tabs>
              <w:tab w:val="clear" w:pos="9062"/>
              <w:tab w:val="right" w:pos="9072" w:leader="dot"/>
            </w:tabs>
            <w:rPr/>
          </w:pPr>
          <w:hyperlink w:anchor="__RefHeading___Toc9245_2601441312">
            <w:r>
              <w:rPr>
                <w:rStyle w:val="IndexLink"/>
              </w:rPr>
              <w:t>Actions de maintenance trimestrielle</w:t>
              <w:tab/>
              <w:t>32</w:t>
            </w:r>
          </w:hyperlink>
        </w:p>
        <w:p>
          <w:pPr>
            <w:pStyle w:val="Contents2"/>
            <w:tabs>
              <w:tab w:val="clear" w:pos="9062"/>
              <w:tab w:val="right" w:pos="9072" w:leader="dot"/>
            </w:tabs>
            <w:rPr/>
          </w:pPr>
          <w:hyperlink w:anchor="__RefHeading___Toc9247_2601441312">
            <w:r>
              <w:rPr>
                <w:rStyle w:val="IndexLink"/>
              </w:rPr>
              <w:t>Actions de maintenance semestrielle</w:t>
              <w:tab/>
              <w:t>32</w:t>
            </w:r>
          </w:hyperlink>
        </w:p>
        <w:p>
          <w:pPr>
            <w:pStyle w:val="Contents2"/>
            <w:tabs>
              <w:tab w:val="clear" w:pos="9062"/>
              <w:tab w:val="right" w:pos="9072" w:leader="dot"/>
            </w:tabs>
            <w:rPr/>
          </w:pPr>
          <w:hyperlink w:anchor="__RefHeading___Toc9249_2601441312">
            <w:r>
              <w:rPr>
                <w:rStyle w:val="IndexLink"/>
              </w:rPr>
              <w:t>Actions de maintenance annuelle</w:t>
              <w:tab/>
              <w:t>33</w:t>
            </w:r>
          </w:hyperlink>
        </w:p>
        <w:p>
          <w:pPr>
            <w:pStyle w:val="Contents1"/>
            <w:tabs>
              <w:tab w:val="clear" w:pos="9376"/>
              <w:tab w:val="right" w:pos="9072" w:leader="dot"/>
            </w:tabs>
            <w:rPr/>
          </w:pPr>
          <w:hyperlink w:anchor="__RefHeading___Toc9251_2601441312">
            <w:r>
              <w:rPr>
                <w:rStyle w:val="IndexLink"/>
              </w:rPr>
              <w:t>GESTION DES INCIDENTS ET SUPPORT</w:t>
              <w:tab/>
              <w:t>33</w:t>
            </w:r>
          </w:hyperlink>
        </w:p>
        <w:p>
          <w:pPr>
            <w:pStyle w:val="Contents2"/>
            <w:tabs>
              <w:tab w:val="clear" w:pos="9062"/>
              <w:tab w:val="right" w:pos="9072" w:leader="dot"/>
            </w:tabs>
            <w:rPr/>
          </w:pPr>
          <w:hyperlink w:anchor="__RefHeading___Toc9253_2601441312">
            <w:r>
              <w:rPr>
                <w:rStyle w:val="IndexLink"/>
              </w:rPr>
              <w:t>Procédure en cas de problème</w:t>
              <w:tab/>
              <w:t>33</w:t>
            </w:r>
          </w:hyperlink>
        </w:p>
        <w:p>
          <w:pPr>
            <w:pStyle w:val="Contents2"/>
            <w:tabs>
              <w:tab w:val="clear" w:pos="9062"/>
              <w:tab w:val="right" w:pos="9072" w:leader="dot"/>
            </w:tabs>
            <w:rPr/>
          </w:pPr>
          <w:hyperlink w:anchor="__RefHeading___Toc9255_2601441312">
            <w:r>
              <w:rPr>
                <w:rStyle w:val="IndexLink"/>
              </w:rPr>
              <w:t>Niveaux d'escalade des incidents</w:t>
              <w:tab/>
              <w:t>34</w:t>
            </w:r>
          </w:hyperlink>
        </w:p>
        <w:p>
          <w:pPr>
            <w:pStyle w:val="Contents1"/>
            <w:tabs>
              <w:tab w:val="clear" w:pos="9376"/>
              <w:tab w:val="right" w:pos="9072" w:leader="dot"/>
            </w:tabs>
            <w:rPr/>
          </w:pPr>
          <w:hyperlink w:anchor="__RefHeading___Toc9257_2601441312">
            <w:r>
              <w:rPr>
                <w:rStyle w:val="IndexLink"/>
              </w:rPr>
              <w:t>DÉCOMMISSIONNEMENT DU SERVEUR (FIN DE VIE)</w:t>
              <w:tab/>
              <w:t>34</w:t>
            </w:r>
          </w:hyperlink>
        </w:p>
        <w:p>
          <w:pPr>
            <w:pStyle w:val="Contents1"/>
            <w:tabs>
              <w:tab w:val="clear" w:pos="9376"/>
              <w:tab w:val="right" w:pos="9072" w:leader="dot"/>
            </w:tabs>
            <w:rPr/>
          </w:pPr>
          <w:hyperlink w:anchor="__RefHeading___Toc9259_2601441312">
            <w:r>
              <w:rPr>
                <w:rStyle w:val="IndexLink"/>
              </w:rPr>
              <w:t>ANNEXES</w:t>
              <w:tab/>
              <w:t>35</w:t>
            </w:r>
          </w:hyperlink>
        </w:p>
        <w:p>
          <w:pPr>
            <w:pStyle w:val="Contents2"/>
            <w:tabs>
              <w:tab w:val="clear" w:pos="9062"/>
              <w:tab w:val="right" w:pos="9072" w:leader="dot"/>
            </w:tabs>
            <w:rPr/>
          </w:pPr>
          <w:hyperlink w:anchor="__RefHeading___Toc9261_2601441312">
            <w:r>
              <w:rPr>
                <w:rStyle w:val="IndexLink"/>
              </w:rPr>
              <w:t>Annexe A : Checklist rapide imprimable (format une page)</w:t>
              <w:tab/>
              <w:t>35</w:t>
            </w:r>
          </w:hyperlink>
        </w:p>
        <w:p>
          <w:pPr>
            <w:pStyle w:val="Contents2"/>
            <w:tabs>
              <w:tab w:val="clear" w:pos="9062"/>
              <w:tab w:val="right" w:pos="9072" w:leader="dot"/>
            </w:tabs>
            <w:rPr/>
          </w:pPr>
          <w:hyperlink w:anchor="__RefHeading___Toc9263_2601441312">
            <w:r>
              <w:rPr>
                <w:rStyle w:val="IndexLink"/>
              </w:rPr>
              <w:t>Annexe B : Temps estimés par étape</w:t>
              <w:tab/>
              <w:t>36</w:t>
            </w:r>
          </w:hyperlink>
        </w:p>
        <w:p>
          <w:pPr>
            <w:pStyle w:val="Contents2"/>
            <w:tabs>
              <w:tab w:val="clear" w:pos="9062"/>
              <w:tab w:val="right" w:pos="9072" w:leader="dot"/>
            </w:tabs>
            <w:rPr/>
          </w:pPr>
          <w:hyperlink w:anchor="__RefHeading___Toc9265_2601441312">
            <w:r>
              <w:rPr>
                <w:rStyle w:val="IndexLink"/>
              </w:rPr>
              <w:t>Annexe C : Commandes rapides de vérification</w:t>
              <w:tab/>
              <w:t>37</w:t>
            </w:r>
          </w:hyperlink>
        </w:p>
        <w:p>
          <w:pPr>
            <w:pStyle w:val="Contents2"/>
            <w:tabs>
              <w:tab w:val="clear" w:pos="9062"/>
              <w:tab w:val="right" w:pos="9072" w:leader="dot"/>
            </w:tabs>
            <w:rPr/>
          </w:pPr>
          <w:hyperlink w:anchor="__RefHeading___Toc9267_2601441312">
            <w:r>
              <w:rPr>
                <w:rStyle w:val="IndexLink"/>
              </w:rPr>
              <w:t>Annexe D : Documents de référence à consulter</w:t>
              <w:tab/>
              <w:t>38</w:t>
            </w:r>
          </w:hyperlink>
        </w:p>
        <w:p>
          <w:pPr>
            <w:pStyle w:val="Contents2"/>
            <w:tabs>
              <w:tab w:val="clear" w:pos="9062"/>
              <w:tab w:val="right" w:pos="9072" w:leader="dot"/>
            </w:tabs>
            <w:rPr/>
          </w:pPr>
          <w:hyperlink w:anchor="__RefHeading___Toc9269_2601441312">
            <w:r>
              <w:rPr>
                <w:rStyle w:val="IndexLink"/>
              </w:rPr>
              <w:t>Annexe E : Contacts et support</w:t>
              <w:tab/>
              <w:t>39</w:t>
            </w:r>
          </w:hyperlink>
        </w:p>
        <w:p>
          <w:pPr>
            <w:pStyle w:val="Contents3"/>
            <w:tabs>
              <w:tab w:val="clear" w:pos="8505"/>
              <w:tab w:val="right" w:pos="9072" w:leader="dot"/>
            </w:tabs>
            <w:rPr/>
          </w:pPr>
          <w:hyperlink w:anchor="__RefHeading___Toc9271_2601441312">
            <w:r>
              <w:rPr>
                <w:rStyle w:val="IndexLink"/>
              </w:rPr>
              <w:t>Contact</w:t>
              <w:tab/>
              <w:t>39</w:t>
            </w:r>
          </w:hyperlink>
        </w:p>
        <w:p>
          <w:pPr>
            <w:pStyle w:val="Contents3"/>
            <w:tabs>
              <w:tab w:val="clear" w:pos="8505"/>
              <w:tab w:val="right" w:pos="9072" w:leader="dot"/>
            </w:tabs>
            <w:rPr/>
          </w:pPr>
          <w:hyperlink w:anchor="__RefHeading___Toc9273_2601441312">
            <w:r>
              <w:rPr>
                <w:rStyle w:val="IndexLink"/>
              </w:rPr>
              <w:t>Rôle et domaine de compétence</w:t>
              <w:tab/>
              <w:t>39</w:t>
            </w:r>
          </w:hyperlink>
        </w:p>
        <w:p>
          <w:pPr>
            <w:pStyle w:val="Contents3"/>
            <w:tabs>
              <w:tab w:val="clear" w:pos="8505"/>
              <w:tab w:val="right" w:pos="9072" w:leader="dot"/>
            </w:tabs>
            <w:rPr/>
          </w:pPr>
          <w:hyperlink w:anchor="__RefHeading___Toc9275_2601441312">
            <w:r>
              <w:rPr>
                <w:rStyle w:val="IndexLink"/>
              </w:rPr>
              <w:t>Coordonnées</w:t>
              <w:tab/>
              <w:t>39</w:t>
            </w:r>
          </w:hyperlink>
        </w:p>
        <w:p>
          <w:pPr>
            <w:pStyle w:val="Contents3"/>
            <w:tabs>
              <w:tab w:val="clear" w:pos="8505"/>
              <w:tab w:val="right" w:pos="9072" w:leader="dot"/>
            </w:tabs>
            <w:rPr/>
          </w:pPr>
          <w:hyperlink w:anchor="__RefHeading___Toc9277_2601441312">
            <w:r>
              <w:rPr>
                <w:rStyle w:val="IndexLink"/>
              </w:rPr>
              <w:t>[Votre Nom]</w:t>
              <w:tab/>
              <w:t>39</w:t>
            </w:r>
          </w:hyperlink>
        </w:p>
        <w:p>
          <w:pPr>
            <w:pStyle w:val="Contents3"/>
            <w:tabs>
              <w:tab w:val="clear" w:pos="8505"/>
              <w:tab w:val="right" w:pos="9072" w:leader="dot"/>
            </w:tabs>
            <w:rPr/>
          </w:pPr>
          <w:hyperlink w:anchor="__RefHeading___Toc9279_2601441312">
            <w:r>
              <w:rPr>
                <w:rStyle w:val="IndexLink"/>
              </w:rPr>
              <w:t>Support OVH</w:t>
              <w:tab/>
              <w:t>39</w:t>
            </w:r>
          </w:hyperlink>
        </w:p>
        <w:p>
          <w:pPr>
            <w:pStyle w:val="Contents3"/>
            <w:tabs>
              <w:tab w:val="clear" w:pos="8505"/>
              <w:tab w:val="right" w:pos="9072" w:leader="dot"/>
            </w:tabs>
            <w:rPr/>
          </w:pPr>
          <w:hyperlink w:anchor="__RefHeading___Toc9281_2601441312">
            <w:r>
              <w:rPr>
                <w:rStyle w:val="IndexLink"/>
              </w:rPr>
              <w:t>APDP Bénin</w:t>
              <w:tab/>
              <w:t>39</w:t>
            </w:r>
          </w:hyperlink>
        </w:p>
        <w:p>
          <w:pPr>
            <w:pStyle w:val="Contents1"/>
            <w:tabs>
              <w:tab w:val="clear" w:pos="9376"/>
              <w:tab w:val="right" w:pos="9072" w:leader="dot"/>
            </w:tabs>
            <w:rPr/>
          </w:pPr>
          <w:hyperlink w:anchor="__RefHeading___Toc9283_2601441312">
            <w:r>
              <w:rPr>
                <w:rStyle w:val="IndexLink"/>
              </w:rPr>
              <w:t>NOTES DE FIN</w:t>
              <w:tab/>
              <w:t>39</w:t>
            </w:r>
          </w:hyperlink>
        </w:p>
        <w:p>
          <w:pPr>
            <w:pStyle w:val="Contents2"/>
            <w:tabs>
              <w:tab w:val="clear" w:pos="9062"/>
              <w:tab w:val="right" w:pos="9072" w:leader="dot"/>
            </w:tabs>
            <w:rPr/>
          </w:pPr>
          <w:hyperlink w:anchor="__RefHeading___Toc9285_2601441312">
            <w:r>
              <w:rPr>
                <w:rStyle w:val="IndexLink"/>
              </w:rPr>
              <w:t>Comment utiliser efficacement cette procédure</w:t>
              <w:tab/>
              <w:t>39</w:t>
            </w:r>
          </w:hyperlink>
        </w:p>
        <w:p>
          <w:pPr>
            <w:pStyle w:val="Contents2"/>
            <w:tabs>
              <w:tab w:val="clear" w:pos="9062"/>
              <w:tab w:val="right" w:pos="9072" w:leader="dot"/>
            </w:tabs>
            <w:rPr/>
          </w:pPr>
          <w:hyperlink w:anchor="__RefHeading___Toc9287_2601441312">
            <w:r>
              <w:rPr>
                <w:rStyle w:val="IndexLink"/>
              </w:rPr>
              <w:t>Améliorations futures prévues</w:t>
              <w:tab/>
              <w:t>40</w:t>
            </w:r>
          </w:hyperlink>
          <w:r>
            <w:rPr>
              <w:rStyle w:val="IndexLink"/>
            </w:rPr>
            <w:fldChar w:fldCharType="end"/>
          </w:r>
        </w:p>
      </w:sdtContent>
    </w:sdt>
    <w:p>
      <w:pPr>
        <w:pStyle w:val="Normal"/>
        <w:rPr>
          <w:rFonts w:cs="Times New Roman"/>
          <w:szCs w:val="24"/>
        </w:rPr>
      </w:pPr>
      <w:r>
        <w:rPr>
          <w:rFonts w:cs="Times New Roman"/>
          <w:szCs w:val="24"/>
        </w:rPr>
      </w:r>
    </w:p>
    <w:p>
      <w:pPr>
        <w:pStyle w:val="Normal"/>
        <w:rPr>
          <w:rFonts w:cs="Times New Roman"/>
          <w:szCs w:val="24"/>
        </w:rPr>
      </w:pPr>
      <w:r>
        <w:rPr>
          <w:rFonts w:cs="Times New Roman"/>
          <w:szCs w:val="24"/>
        </w:rPr>
      </w:r>
    </w:p>
    <w:p>
      <w:pPr>
        <w:pStyle w:val="Normal"/>
        <w:rPr>
          <w:rFonts w:cs="Times New Roman"/>
          <w:szCs w:val="24"/>
        </w:rPr>
      </w:pPr>
      <w:r>
        <w:rPr>
          <w:rFonts w:cs="Times New Roman"/>
          <w:szCs w:val="24"/>
        </w:rPr>
      </w:r>
    </w:p>
    <w:p>
      <w:pPr>
        <w:pStyle w:val="Normal"/>
        <w:rPr>
          <w:rFonts w:cs="Times New Roman"/>
          <w:szCs w:val="24"/>
        </w:rPr>
      </w:pPr>
      <w:r>
        <w:rPr>
          <w:rFonts w:cs="Times New Roman"/>
          <w:szCs w:val="24"/>
        </w:rPr>
      </w:r>
    </w:p>
    <w:p>
      <w:pPr>
        <w:pStyle w:val="Normal"/>
        <w:rPr>
          <w:rFonts w:cs="Times New Roman"/>
          <w:szCs w:val="24"/>
        </w:rPr>
      </w:pPr>
      <w:r>
        <w:rPr>
          <w:rFonts w:cs="Times New Roman"/>
          <w:szCs w:val="24"/>
        </w:rPr>
      </w:r>
    </w:p>
    <w:p>
      <w:pPr>
        <w:pStyle w:val="Normal"/>
        <w:rPr>
          <w:rFonts w:cs="Times New Roman"/>
          <w:szCs w:val="24"/>
        </w:rPr>
      </w:pPr>
      <w:r>
        <w:rPr>
          <w:rFonts w:cs="Times New Roman"/>
          <w:szCs w:val="24"/>
        </w:rPr>
      </w:r>
    </w:p>
    <w:p>
      <w:pPr>
        <w:pStyle w:val="Normal"/>
        <w:rPr>
          <w:rFonts w:cs="Times New Roman"/>
          <w:szCs w:val="24"/>
        </w:rPr>
      </w:pPr>
      <w:r>
        <w:rPr>
          <w:rFonts w:cs="Times New Roman"/>
          <w:szCs w:val="24"/>
        </w:rPr>
      </w:r>
    </w:p>
    <w:p>
      <w:pPr>
        <w:pStyle w:val="Normal"/>
        <w:rPr>
          <w:rFonts w:cs="Times New Roman"/>
          <w:szCs w:val="24"/>
        </w:rPr>
      </w:pPr>
      <w:r>
        <w:rPr>
          <w:rFonts w:cs="Times New Roman"/>
          <w:szCs w:val="24"/>
        </w:rPr>
      </w:r>
    </w:p>
    <w:p>
      <w:pPr>
        <w:pStyle w:val="Heading1"/>
        <w:rPr/>
      </w:pPr>
      <w:bookmarkStart w:id="6" w:name="__RefHeading___Toc9103_2601441312"/>
      <w:bookmarkEnd w:id="6"/>
      <w:r>
        <w:rPr/>
        <w:t>OBJECTIF ET PÉRIMÈTRE</w:t>
      </w:r>
      <w:bookmarkStart w:id="7" w:name="_Toc226109673"/>
      <w:bookmarkStart w:id="8" w:name="_Toc226200438"/>
      <w:bookmarkEnd w:id="7"/>
      <w:bookmarkEnd w:id="8"/>
    </w:p>
    <w:p>
      <w:pPr>
        <w:pStyle w:val="Heading2"/>
        <w:rPr/>
      </w:pPr>
      <w:bookmarkStart w:id="9" w:name="__RefHeading___Toc9105_2601441312"/>
      <w:bookmarkEnd w:id="9"/>
      <w:r>
        <w:rPr/>
        <w:t>Objectif de cette procédure</w:t>
      </w:r>
    </w:p>
    <w:p>
      <w:pPr>
        <w:pStyle w:val="Normal"/>
        <w:rPr/>
      </w:pPr>
      <w:r>
        <w:rPr/>
        <w:t>Cette procédure a pour objectif de définir l'ensemble des étapes qui doivent être obligatoirement suivies lors de la mise en service d'un nouveau serveur Linux hébergé chez OVH. En suivant rigoureusement cette procédure, vous garantissez que le serveur sera configuré de manière sécurisée et conforme aux standards techniques et réglementaires de l'entreprise.</w:t>
      </w:r>
    </w:p>
    <w:p>
      <w:pPr>
        <w:pStyle w:val="TextBody"/>
        <w:rPr/>
      </w:pPr>
      <w:r>
        <w:rPr>
          <w:rStyle w:val="StrongEmphasis"/>
          <w:i w:val="false"/>
          <w:iCs w:val="false"/>
          <w:u w:val="none"/>
        </w:rPr>
        <w:t>Le résultat attendu à l'issue de cette procédure est un serveur qui est pleinement opérationnel pour héberger les applications prévues, sécurisé contre les menaces courantes grâce à l'application des mesures de protection standard, correctement documenté dans le registre des serveurs avec toutes ses caractéristiques techniques, et conforme aux exigences de l'APDP en matière de protection des données p</w:t>
      </w:r>
      <w:r>
        <w:rPr>
          <w:rStyle w:val="StrongEmphasis"/>
          <w:i w:val="false"/>
          <w:iCs w:val="false"/>
        </w:rPr>
        <w:t>ersonnelles.</w:t>
      </w:r>
    </w:p>
    <w:p>
      <w:pPr>
        <w:pStyle w:val="Heading2"/>
        <w:rPr/>
      </w:pPr>
      <w:bookmarkStart w:id="10" w:name="__RefHeading___Toc9107_2601441312"/>
      <w:bookmarkEnd w:id="10"/>
      <w:r>
        <w:rPr/>
        <w:t>Périmètre d'application</w:t>
      </w:r>
    </w:p>
    <w:p>
      <w:pPr>
        <w:pStyle w:val="TextBody"/>
        <w:rPr/>
      </w:pPr>
      <w:r>
        <w:rPr>
          <w:rStyle w:val="StrongEmphasis"/>
          <w:b w:val="false"/>
          <w:bCs w:val="false"/>
        </w:rPr>
        <w:t>Les serveurs concernés par cette procédure sont les suivants :</w:t>
      </w:r>
    </w:p>
    <w:p>
      <w:pPr>
        <w:pStyle w:val="TextBody"/>
        <w:rPr/>
      </w:pPr>
      <w:r>
        <w:rPr/>
        <w:t>Cette procédure s'applique à tous les nouveaux serveurs Linux qui sont mis en service, quel que soit leur environnement. Cela inclut les serveurs de production qui hébergent des applications et services accessibles aux utilisateurs finaux, les serveurs de préproduction utilisés pour valider les nouvelles versions avant leur mise en production, ainsi que les serveurs de test utilisés par les équipes techniques.</w:t>
      </w:r>
    </w:p>
    <w:p>
      <w:pPr>
        <w:pStyle w:val="TextBody"/>
        <w:rPr/>
      </w:pPr>
      <w:r>
        <w:rPr>
          <w:rStyle w:val="StrongEmphasis"/>
        </w:rPr>
        <w:t>L'infrastructure concernée est hébergée sur le cloud OVH</w:t>
      </w:r>
      <w:r>
        <w:rPr/>
        <w:t>, que ce soit des VPS (Virtual Private Server) ou des serveurs dédiés.</w:t>
      </w:r>
    </w:p>
    <w:p>
      <w:pPr>
        <w:pStyle w:val="TextBody"/>
        <w:rPr/>
      </w:pPr>
      <w:r>
        <w:rPr>
          <w:rStyle w:val="StrongEmphasis"/>
        </w:rPr>
        <w:t>Les systèmes d'exploitation autorisés sont uniquement les versions LTS (Long Term Support) d'Ubuntu</w:t>
      </w:r>
      <w:r>
        <w:rPr/>
        <w:t xml:space="preserve">, conformément au référentiel </w:t>
      </w:r>
      <w:r>
        <w:rPr>
          <w:rStyle w:val="StrongEmphasis"/>
        </w:rPr>
        <w:t>DOC-REF-01</w:t>
      </w:r>
      <w:r>
        <w:rPr/>
        <w:t>.</w:t>
      </w:r>
    </w:p>
    <w:p>
      <w:pPr>
        <w:pStyle w:val="TextBody"/>
        <w:rPr/>
      </w:pPr>
      <w:r>
        <w:rPr>
          <w:rStyle w:val="StrongEmphasis"/>
        </w:rPr>
        <w:t>Les documents de référence que vous devrez consulter pendant l'exécution de cette procédure sont les suivants :</w:t>
      </w:r>
    </w:p>
    <w:p>
      <w:pPr>
        <w:pStyle w:val="TextBody"/>
        <w:numPr>
          <w:ilvl w:val="0"/>
          <w:numId w:val="64"/>
        </w:numPr>
        <w:tabs>
          <w:tab w:val="clear" w:pos="708"/>
          <w:tab w:val="left" w:pos="0" w:leader="none"/>
        </w:tabs>
        <w:rPr/>
      </w:pPr>
      <w:r>
        <w:rPr/>
        <w:t xml:space="preserve">Le document </w:t>
      </w:r>
      <w:r>
        <w:rPr>
          <w:rStyle w:val="StrongEmphasis"/>
        </w:rPr>
        <w:t>DOC-REF-01</w:t>
      </w:r>
      <w:r>
        <w:rPr/>
        <w:t xml:space="preserve"> constitue le référentiel de configuration des serveurs Linux et contient tous les détails techniques des configurations à appliquer.</w:t>
      </w:r>
    </w:p>
    <w:p>
      <w:pPr>
        <w:pStyle w:val="TextBody"/>
        <w:numPr>
          <w:ilvl w:val="0"/>
          <w:numId w:val="64"/>
        </w:numPr>
        <w:tabs>
          <w:tab w:val="clear" w:pos="708"/>
          <w:tab w:val="left" w:pos="0" w:leader="none"/>
        </w:tabs>
        <w:rPr/>
      </w:pPr>
      <w:r>
        <w:rPr/>
        <w:t xml:space="preserve">Le document </w:t>
      </w:r>
      <w:r>
        <w:rPr>
          <w:rStyle w:val="StrongEmphasis"/>
        </w:rPr>
        <w:t>DOC-OPS-01</w:t>
      </w:r>
      <w:r>
        <w:rPr/>
        <w:t xml:space="preserve"> est le registre des serveurs qui sert d'inventaire central où tous les serveurs doivent être enregistrés avec leurs caractéristiques.</w:t>
      </w:r>
    </w:p>
    <w:p>
      <w:pPr>
        <w:pStyle w:val="Heading2"/>
        <w:rPr/>
      </w:pPr>
      <w:bookmarkStart w:id="11" w:name="__RefHeading___Toc9109_2601441312"/>
      <w:bookmarkEnd w:id="11"/>
      <w:r>
        <w:rPr/>
        <w:t>Prérequis avant de commencer</w:t>
      </w:r>
    </w:p>
    <w:p>
      <w:pPr>
        <w:pStyle w:val="TextBody"/>
        <w:rPr/>
      </w:pPr>
      <w:r>
        <w:rPr/>
        <w:t>Avant de débuter cette procédure de mise en service, vous devez impérativement vous assurer que vous disposez de tous les éléments suivants :</w:t>
      </w:r>
    </w:p>
    <w:p>
      <w:pPr>
        <w:pStyle w:val="TextBody"/>
        <w:numPr>
          <w:ilvl w:val="0"/>
          <w:numId w:val="63"/>
        </w:numPr>
        <w:rPr/>
      </w:pPr>
      <w:r>
        <w:rPr/>
        <w:t>Vous devez avoir accès au compte OVH Manager pour pouvoir commander et gérer le nouveau serveur.</w:t>
      </w:r>
    </w:p>
    <w:p>
      <w:pPr>
        <w:pStyle w:val="TextBody"/>
        <w:numPr>
          <w:ilvl w:val="0"/>
          <w:numId w:val="63"/>
        </w:numPr>
        <w:tabs>
          <w:tab w:val="clear" w:pos="708"/>
          <w:tab w:val="left" w:pos="0" w:leader="none"/>
        </w:tabs>
        <w:rPr/>
      </w:pPr>
      <w:r>
        <w:rPr/>
        <w:t>Une justification métier pour le nouveau serveur doit avoir été formulée et validée par le responsable hiérarchique concerné.</w:t>
      </w:r>
    </w:p>
    <w:p>
      <w:pPr>
        <w:pStyle w:val="TextBody"/>
        <w:numPr>
          <w:ilvl w:val="0"/>
          <w:numId w:val="63"/>
        </w:numPr>
        <w:tabs>
          <w:tab w:val="clear" w:pos="708"/>
          <w:tab w:val="left" w:pos="0" w:leader="none"/>
        </w:tabs>
        <w:rPr/>
      </w:pPr>
      <w:r>
        <w:rPr/>
        <w:t>Le rôle que jouera le serveur doit avoir été clairement défini (serveur web, serveur de base de données, serveur applicatif, serveur de fichiers, serveur mail, ou serveur de sauvegarde).</w:t>
      </w:r>
    </w:p>
    <w:p>
      <w:pPr>
        <w:pStyle w:val="TextBody"/>
        <w:numPr>
          <w:ilvl w:val="0"/>
          <w:numId w:val="63"/>
        </w:numPr>
        <w:tabs>
          <w:tab w:val="clear" w:pos="708"/>
          <w:tab w:val="left" w:pos="0" w:leader="none"/>
        </w:tabs>
        <w:rPr/>
      </w:pPr>
      <w:r>
        <w:rPr/>
        <w:t xml:space="preserve">Si le serveur va traiter des données personnelles, la classification de ces données doit avoir été déterminée en consultant le document </w:t>
      </w:r>
      <w:r>
        <w:rPr>
          <w:rStyle w:val="StrongEmphasis"/>
        </w:rPr>
        <w:t>DOC-REF-03</w:t>
      </w:r>
      <w:r>
        <w:rPr/>
        <w:t>.</w:t>
      </w:r>
    </w:p>
    <w:p>
      <w:pPr>
        <w:pStyle w:val="TextBody"/>
        <w:numPr>
          <w:ilvl w:val="0"/>
          <w:numId w:val="63"/>
        </w:numPr>
        <w:tabs>
          <w:tab w:val="clear" w:pos="708"/>
          <w:tab w:val="left" w:pos="0" w:leader="none"/>
        </w:tabs>
        <w:rPr/>
      </w:pPr>
      <w:r>
        <w:rPr/>
        <w:t xml:space="preserve">Vous devez avoir accès à </w:t>
      </w:r>
      <w:r>
        <w:rPr>
          <w:rStyle w:val="StrongEmphasis"/>
          <w:b/>
          <w:bCs/>
        </w:rPr>
        <w:t>NetByUs</w:t>
      </w:r>
      <w:r>
        <w:rPr>
          <w:rStyle w:val="StrongEmphasis"/>
        </w:rPr>
        <w:t xml:space="preserve"> Password Manager (Passbolt)</w:t>
      </w:r>
      <w:r>
        <w:rPr/>
        <w:t>, le gestionnaire de mots de passe de l'entreprise, pour pouvoir y stocker de manière sécurisée les identifiants du serveur.</w:t>
      </w:r>
    </w:p>
    <w:p>
      <w:pPr>
        <w:pStyle w:val="TextBody"/>
        <w:numPr>
          <w:ilvl w:val="0"/>
          <w:numId w:val="63"/>
        </w:numPr>
        <w:tabs>
          <w:tab w:val="clear" w:pos="708"/>
          <w:tab w:val="left" w:pos="0" w:leader="none"/>
        </w:tabs>
        <w:rPr/>
      </w:pPr>
      <w:r>
        <w:rPr/>
        <w:t>Votre poste de travail doit avoir le client SSH installé et configuré pour pouvoir vous connecter au serveur.</w:t>
      </w:r>
    </w:p>
    <w:p>
      <w:pPr>
        <w:pStyle w:val="TextBody"/>
        <w:tabs>
          <w:tab w:val="clear" w:pos="708"/>
          <w:tab w:val="left" w:pos="0" w:leader="none"/>
        </w:tabs>
        <w:ind w:left="0" w:right="0" w:hanging="0"/>
        <w:rPr>
          <w:color w:val="F07817"/>
        </w:rPr>
      </w:pPr>
      <w:r>
        <w:rPr>
          <w:color w:val="F07817"/>
        </w:rPr>
        <w:t>Le budget nécessaire pour le serveur doit avoir été validé par la direction.</w:t>
      </w:r>
    </w:p>
    <w:p>
      <w:pPr>
        <w:pStyle w:val="Heading2"/>
        <w:jc w:val="left"/>
        <w:rPr/>
      </w:pPr>
      <w:bookmarkStart w:id="12" w:name="__RefHeading___Toc9111_2601441312"/>
      <w:bookmarkEnd w:id="12"/>
      <w:r>
        <w:rPr/>
        <w:t>Durée estimée de la procédure</w:t>
      </w:r>
    </w:p>
    <w:p>
      <w:pPr>
        <w:pStyle w:val="TextBody"/>
        <w:rPr/>
      </w:pPr>
      <w:r>
        <w:rPr/>
        <w:t>La durée totale estimée pour l'exécution complète de cette procédure est comprise entre 3 et 4 heures pour un serveur standard. Ce temps peut varier selon la complexité du serveur et l’expérience avec ce type de configuration.</w:t>
      </w:r>
    </w:p>
    <w:p>
      <w:pPr>
        <w:pStyle w:val="Heading1"/>
        <w:rPr/>
      </w:pPr>
      <w:bookmarkStart w:id="13" w:name="__RefHeading___Toc9113_2601441312"/>
      <w:bookmarkEnd w:id="13"/>
      <w:r>
        <w:rPr/>
        <w:t>PROVISIONNEMENT DU SERVEUR CHEZ OVH</w:t>
      </w:r>
    </w:p>
    <w:p>
      <w:pPr>
        <w:pStyle w:val="Heading2"/>
        <w:rPr/>
      </w:pPr>
      <w:bookmarkStart w:id="14" w:name="__RefHeading___Toc9115_2601441312"/>
      <w:bookmarkEnd w:id="14"/>
      <w:r>
        <w:rPr/>
        <w:t>Commande du serveur sur OVH Manager</w:t>
      </w:r>
    </w:p>
    <w:p>
      <w:pPr>
        <w:pStyle w:val="TextBody"/>
        <w:rPr/>
      </w:pPr>
      <w:r>
        <w:rPr>
          <w:rStyle w:val="StrongEmphasis"/>
          <w:b w:val="false"/>
          <w:bCs w:val="false"/>
        </w:rPr>
        <w:t>Les étapes à suivre pour commander le nouveau serveur sont les suivantes :</w:t>
      </w:r>
    </w:p>
    <w:p>
      <w:pPr>
        <w:pStyle w:val="TextBody"/>
        <w:rPr/>
      </w:pPr>
      <w:r>
        <w:rPr>
          <w:rStyle w:val="StrongEmphasis"/>
          <w:rFonts w:eastAsia="Calibri"/>
          <w:color w:val="014276"/>
          <w:kern w:val="0"/>
          <w:sz w:val="24"/>
          <w:szCs w:val="32"/>
          <w:lang w:val="fr-FR" w:eastAsia="en-US" w:bidi="ar-SA"/>
        </w:rPr>
        <w:t xml:space="preserve">Étape 1 : </w:t>
      </w:r>
      <w:r>
        <w:rPr>
          <w:rStyle w:val="StrongEmphasis"/>
          <w:b w:val="false"/>
          <w:bCs w:val="false"/>
        </w:rPr>
        <w:t>Connexion au panneau de gestion OVH Manager</w:t>
      </w:r>
    </w:p>
    <w:p>
      <w:pPr>
        <w:pStyle w:val="TextBody"/>
        <w:rPr/>
      </w:pPr>
      <w:r>
        <w:rPr/>
        <w:t xml:space="preserve">Vous devez vous connecter à l'interface OVH Manager en utilisant les identifiants de connexion qui sont stockés de manière sécurisée dans </w:t>
      </w:r>
      <w:r>
        <w:rPr>
          <w:rStyle w:val="StrongEmphasis"/>
        </w:rPr>
        <w:t>NetByUs Password Manager (Passbolt)</w:t>
      </w:r>
      <w:r>
        <w:rPr/>
        <w:t>. Ces identifiants vous permettent d'accéder au compte OVH de l'entreprise où vous pourrez commander et gérer les serveurs.</w:t>
      </w:r>
    </w:p>
    <w:p>
      <w:pPr>
        <w:pStyle w:val="TextBody"/>
        <w:rPr/>
      </w:pPr>
      <w:r>
        <w:rPr>
          <w:rStyle w:val="StrongEmphasis"/>
          <w:color w:val="014276"/>
        </w:rPr>
        <w:t>Éta</w:t>
      </w:r>
      <w:r>
        <w:rPr>
          <w:rStyle w:val="StrongEmphasis"/>
          <w:rFonts w:eastAsia="Calibri"/>
          <w:color w:val="014276"/>
          <w:kern w:val="0"/>
          <w:sz w:val="24"/>
          <w:szCs w:val="32"/>
          <w:lang w:val="fr-FR" w:eastAsia="en-US" w:bidi="ar-SA"/>
        </w:rPr>
        <w:t>pe 2 :</w:t>
      </w:r>
      <w:r>
        <w:rPr>
          <w:rStyle w:val="StrongEmphasis"/>
        </w:rPr>
        <w:t xml:space="preserve"> </w:t>
      </w:r>
      <w:r>
        <w:rPr>
          <w:rStyle w:val="StrongEmphasis"/>
          <w:b w:val="false"/>
          <w:bCs w:val="false"/>
        </w:rPr>
        <w:t>Choix de l'offre serveur appropriée</w:t>
      </w:r>
    </w:p>
    <w:p>
      <w:pPr>
        <w:pStyle w:val="TextBody"/>
        <w:rPr/>
      </w:pPr>
      <w:r>
        <w:rPr/>
        <w:t>Le choix de l'offre serveur doit être fait en fonction du cas d'usage et de la criticité du serveur. Le tableau suivant vous aide à faire ce choix :</w:t>
      </w:r>
    </w:p>
    <w:tbl>
      <w:tblPr>
        <w:tblW w:w="5000" w:type="pct"/>
        <w:jc w:val="left"/>
        <w:tblInd w:w="-5" w:type="dxa"/>
        <w:tblLayout w:type="fixed"/>
        <w:tblCellMar>
          <w:top w:w="55" w:type="dxa"/>
          <w:left w:w="55" w:type="dxa"/>
          <w:bottom w:w="55" w:type="dxa"/>
          <w:right w:w="55" w:type="dxa"/>
        </w:tblCellMar>
      </w:tblPr>
      <w:tblGrid>
        <w:gridCol w:w="1349"/>
        <w:gridCol w:w="4675"/>
        <w:gridCol w:w="3048"/>
      </w:tblGrid>
      <w:tr>
        <w:trPr/>
        <w:tc>
          <w:tcPr>
            <w:tcW w:w="1349"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b/>
                <w:color w:val="014276"/>
                <w:kern w:val="0"/>
                <w:sz w:val="24"/>
                <w:szCs w:val="32"/>
                <w:lang w:val="fr-FR" w:eastAsia="en-US" w:bidi="ar-SA"/>
              </w:rPr>
              <w:t>Type de serveur</w:t>
            </w:r>
          </w:p>
        </w:tc>
        <w:tc>
          <w:tcPr>
            <w:tcW w:w="4675"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b/>
                <w:color w:val="014276"/>
                <w:kern w:val="0"/>
                <w:sz w:val="24"/>
                <w:szCs w:val="32"/>
                <w:lang w:val="fr-FR" w:eastAsia="en-US" w:bidi="ar-SA"/>
              </w:rPr>
              <w:t>Cas d'usage recommandé</w:t>
            </w:r>
          </w:p>
        </w:tc>
        <w:tc>
          <w:tcPr>
            <w:tcW w:w="3048"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rFonts w:eastAsia="Calibri"/>
                <w:b/>
                <w:color w:val="014276"/>
                <w:kern w:val="0"/>
                <w:sz w:val="24"/>
                <w:szCs w:val="32"/>
                <w:lang w:val="fr-FR" w:eastAsia="en-US" w:bidi="ar-SA"/>
              </w:rPr>
              <w:t>Recommandation OVH</w:t>
            </w:r>
          </w:p>
        </w:tc>
      </w:tr>
      <w:tr>
        <w:trPr/>
        <w:tc>
          <w:tcPr>
            <w:tcW w:w="134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olor w:val="014276"/>
                <w:kern w:val="0"/>
                <w:sz w:val="24"/>
                <w:szCs w:val="32"/>
                <w:lang w:val="fr-FR" w:eastAsia="en-US" w:bidi="ar-SA"/>
              </w:rPr>
              <w:t>VPS</w:t>
            </w:r>
          </w:p>
        </w:tc>
        <w:tc>
          <w:tcPr>
            <w:tcW w:w="4675" w:type="dxa"/>
            <w:tcBorders>
              <w:left w:val="single" w:sz="4" w:space="0" w:color="000000"/>
              <w:bottom w:val="single" w:sz="4" w:space="0" w:color="000000"/>
            </w:tcBorders>
          </w:tcPr>
          <w:p>
            <w:pPr>
              <w:pStyle w:val="TableContents"/>
              <w:widowControl w:val="false"/>
              <w:suppressLineNumbers/>
              <w:spacing w:before="240" w:after="240"/>
              <w:rPr/>
            </w:pPr>
            <w:r>
              <w:rPr/>
              <w:t>Environnement de test, petites applications non critiques</w:t>
            </w:r>
          </w:p>
        </w:tc>
        <w:tc>
          <w:tcPr>
            <w:tcW w:w="304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VPS SSD ou VPS Cloud</w:t>
            </w:r>
          </w:p>
        </w:tc>
      </w:tr>
    </w:tbl>
    <w:p>
      <w:pPr>
        <w:pStyle w:val="TextBody"/>
        <w:rPr>
          <w:rFonts w:cs="Times New Roman"/>
          <w:szCs w:val="24"/>
        </w:rPr>
      </w:pPr>
      <w:r>
        <w:rPr>
          <w:rFonts w:cs="Times New Roman"/>
          <w:szCs w:val="24"/>
        </w:rPr>
      </w:r>
    </w:p>
    <w:tbl>
      <w:tblPr>
        <w:tblW w:w="9088" w:type="dxa"/>
        <w:jc w:val="left"/>
        <w:tblInd w:w="-5" w:type="dxa"/>
        <w:tblLayout w:type="fixed"/>
        <w:tblCellMar>
          <w:top w:w="55" w:type="dxa"/>
          <w:left w:w="55" w:type="dxa"/>
          <w:bottom w:w="55" w:type="dxa"/>
          <w:right w:w="55" w:type="dxa"/>
        </w:tblCellMar>
      </w:tblPr>
      <w:tblGrid>
        <w:gridCol w:w="1349"/>
        <w:gridCol w:w="4676"/>
        <w:gridCol w:w="3063"/>
      </w:tblGrid>
      <w:tr>
        <w:trPr/>
        <w:tc>
          <w:tcPr>
            <w:tcW w:w="1349" w:type="dxa"/>
            <w:tcBorders>
              <w:top w:val="single" w:sz="4" w:space="0" w:color="000000"/>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i w:val="false"/>
                <w:iCs w:val="false"/>
                <w:color w:val="014276"/>
                <w:kern w:val="0"/>
                <w:sz w:val="24"/>
                <w:szCs w:val="32"/>
                <w:lang w:val="fr-FR" w:eastAsia="en-US" w:bidi="ar-SA"/>
              </w:rPr>
              <w:t>Dedicated</w:t>
            </w:r>
          </w:p>
        </w:tc>
        <w:tc>
          <w:tcPr>
            <w:tcW w:w="4676" w:type="dxa"/>
            <w:tcBorders>
              <w:top w:val="single" w:sz="4" w:space="0" w:color="000000"/>
              <w:left w:val="single" w:sz="4" w:space="0" w:color="000000"/>
              <w:bottom w:val="single" w:sz="4" w:space="0" w:color="000000"/>
            </w:tcBorders>
          </w:tcPr>
          <w:p>
            <w:pPr>
              <w:pStyle w:val="TableContents"/>
              <w:widowControl w:val="false"/>
              <w:suppressLineNumbers/>
              <w:spacing w:before="240" w:after="240"/>
              <w:rPr/>
            </w:pPr>
            <w:r>
              <w:rPr/>
              <w:t>Serveurs de production avec haute performance requise, serveurs traitant des données sensibles</w:t>
            </w:r>
          </w:p>
        </w:tc>
        <w:tc>
          <w:tcPr>
            <w:tcW w:w="3063" w:type="dxa"/>
            <w:tcBorders>
              <w:top w:val="single" w:sz="4" w:space="0" w:color="000000"/>
              <w:left w:val="single" w:sz="4" w:space="0" w:color="000000"/>
              <w:bottom w:val="single" w:sz="4" w:space="0" w:color="000000"/>
              <w:right w:val="single" w:sz="4" w:space="0" w:color="000000"/>
            </w:tcBorders>
          </w:tcPr>
          <w:p>
            <w:pPr>
              <w:pStyle w:val="TableContents"/>
              <w:widowControl w:val="false"/>
              <w:suppressLineNumbers/>
              <w:spacing w:before="240" w:after="240"/>
              <w:rPr/>
            </w:pPr>
            <w:r>
              <w:rPr/>
              <w:t>Rise-1 minimum (ou gamme supérieure selon les besoins)</w:t>
            </w:r>
          </w:p>
        </w:tc>
      </w:tr>
    </w:tbl>
    <w:p>
      <w:pPr>
        <w:pStyle w:val="TextBody"/>
        <w:rPr>
          <w:rFonts w:cs="Times New Roman"/>
          <w:szCs w:val="24"/>
        </w:rPr>
      </w:pPr>
      <w:r>
        <w:rPr>
          <w:rFonts w:cs="Times New Roman"/>
          <w:szCs w:val="24"/>
        </w:rPr>
      </w:r>
    </w:p>
    <w:p>
      <w:pPr>
        <w:pStyle w:val="TextBody"/>
        <w:rPr/>
      </w:pPr>
      <w:r>
        <w:rPr>
          <w:rStyle w:val="StrongEmphasis"/>
        </w:rPr>
        <w:t>Les critères de choix détaillés sont les suivants :</w:t>
      </w:r>
    </w:p>
    <w:p>
      <w:pPr>
        <w:pStyle w:val="TextBody"/>
        <w:numPr>
          <w:ilvl w:val="0"/>
          <w:numId w:val="2"/>
        </w:numPr>
        <w:tabs>
          <w:tab w:val="clear" w:pos="708"/>
          <w:tab w:val="left" w:pos="0" w:leader="none"/>
        </w:tabs>
        <w:ind w:left="709" w:right="0" w:hanging="283"/>
        <w:rPr/>
      </w:pPr>
      <w:r>
        <w:rPr/>
        <w:t>Si le serveur est destiné à la production critique ou s'il va traiter des données personnelles, un serveur dédié est fortement recommandé car il offre de meilleures performances et une meilleure isolation de sécurité.</w:t>
      </w:r>
    </w:p>
    <w:p>
      <w:pPr>
        <w:pStyle w:val="TextBody"/>
        <w:numPr>
          <w:ilvl w:val="0"/>
          <w:numId w:val="2"/>
        </w:numPr>
        <w:tabs>
          <w:tab w:val="clear" w:pos="708"/>
          <w:tab w:val="left" w:pos="0" w:leader="none"/>
        </w:tabs>
        <w:ind w:left="709" w:right="0" w:hanging="283"/>
        <w:rPr/>
      </w:pPr>
      <w:r>
        <w:rPr/>
        <w:t>Pour les environnements de test, un VPS est acceptable car les exigences de performance et de sécurité sont moins strictes.</w:t>
      </w:r>
    </w:p>
    <w:p>
      <w:pPr>
        <w:pStyle w:val="TextBody"/>
        <w:rPr/>
      </w:pPr>
      <w:r>
        <w:rPr>
          <w:rStyle w:val="StrongEmphasis"/>
          <w:color w:val="014276"/>
        </w:rPr>
        <w:t>Ét</w:t>
      </w:r>
      <w:r>
        <w:rPr>
          <w:rStyle w:val="StrongEmphasis"/>
          <w:rFonts w:eastAsia="Calibri"/>
          <w:color w:val="014276"/>
          <w:kern w:val="0"/>
          <w:sz w:val="24"/>
          <w:szCs w:val="32"/>
          <w:lang w:val="fr-FR" w:eastAsia="en-US" w:bidi="ar-SA"/>
        </w:rPr>
        <w:t>ape 3 :</w:t>
      </w:r>
      <w:r>
        <w:rPr>
          <w:rStyle w:val="StrongEmphasis"/>
        </w:rPr>
        <w:t xml:space="preserve"> </w:t>
      </w:r>
      <w:r>
        <w:rPr>
          <w:rStyle w:val="StrongEmphasis"/>
          <w:b w:val="false"/>
          <w:bCs w:val="false"/>
        </w:rPr>
        <w:t>Sélection de la distribution Linux</w:t>
      </w:r>
    </w:p>
    <w:p>
      <w:pPr>
        <w:pStyle w:val="TextBody"/>
        <w:rPr/>
      </w:pPr>
      <w:r>
        <w:rPr/>
        <w:t>Vous devez sélectionner la distribution et la version du système d'exploitation qui sera installé sur le serveur.</w:t>
      </w:r>
    </w:p>
    <w:p>
      <w:pPr>
        <w:pStyle w:val="TextBody"/>
        <w:numPr>
          <w:ilvl w:val="0"/>
          <w:numId w:val="3"/>
        </w:numPr>
        <w:tabs>
          <w:tab w:val="clear" w:pos="708"/>
          <w:tab w:val="left" w:pos="0" w:leader="none"/>
        </w:tabs>
        <w:ind w:left="709" w:right="0" w:hanging="283"/>
        <w:rPr/>
      </w:pPr>
      <w:r>
        <w:rPr/>
        <w:t>Pour les serveurs de production, la version recommandée en priorité est Ubuntu 22.04 LTS (Long Term Support), qui offre le meilleur compromis entre stabilité et modernité des fonctionnalités.</w:t>
      </w:r>
    </w:p>
    <w:p>
      <w:pPr>
        <w:pStyle w:val="TextBody"/>
        <w:numPr>
          <w:ilvl w:val="0"/>
          <w:numId w:val="3"/>
        </w:numPr>
        <w:tabs>
          <w:tab w:val="clear" w:pos="708"/>
          <w:tab w:val="left" w:pos="0" w:leader="none"/>
        </w:tabs>
        <w:ind w:left="709" w:right="0" w:hanging="283"/>
        <w:rPr/>
      </w:pPr>
      <w:r>
        <w:rPr/>
        <w:t>Pour les environnements de et de test, vous pouvez choisir soit Ubuntu 22.04 LTS soit Ubuntu 24.04 LTS.</w:t>
      </w:r>
    </w:p>
    <w:p>
      <w:pPr>
        <w:pStyle w:val="TextBody"/>
        <w:rPr/>
      </w:pPr>
      <w:r>
        <w:rPr/>
        <w:t xml:space="preserve">Pour plus de détails sur les distributions autorisées, consultez le document </w:t>
      </w:r>
      <w:r>
        <w:rPr>
          <w:rStyle w:val="StrongEmphasis"/>
        </w:rPr>
        <w:t>DOC-REF-01</w:t>
      </w:r>
      <w:r>
        <w:rPr/>
        <w:t xml:space="preserve"> section </w:t>
      </w:r>
      <w:r>
        <w:rPr>
          <w:rStyle w:val="StrongEmphasis"/>
        </w:rPr>
        <w:t>[REF-OS]</w:t>
      </w:r>
      <w:r>
        <w:rPr/>
        <w:t>.</w:t>
      </w:r>
    </w:p>
    <w:p>
      <w:pPr>
        <w:pStyle w:val="TextBody"/>
        <w:rPr/>
      </w:pPr>
      <w:r>
        <w:rPr>
          <w:rStyle w:val="StrongEmphasis"/>
          <w:rFonts w:eastAsia="Calibri"/>
          <w:color w:val="014276"/>
          <w:kern w:val="0"/>
          <w:sz w:val="24"/>
          <w:szCs w:val="32"/>
          <w:lang w:val="fr-FR" w:eastAsia="en-US" w:bidi="ar-SA"/>
        </w:rPr>
        <w:t>Étape 4 :</w:t>
      </w:r>
      <w:r>
        <w:rPr>
          <w:rStyle w:val="StrongEmphasis"/>
        </w:rPr>
        <w:t xml:space="preserve"> </w:t>
      </w:r>
      <w:r>
        <w:rPr>
          <w:rStyle w:val="StrongEmphasis"/>
          <w:b w:val="false"/>
          <w:bCs w:val="false"/>
        </w:rPr>
        <w:t>Choix de la localisation du datacenter</w:t>
      </w:r>
    </w:p>
    <w:p>
      <w:pPr>
        <w:pStyle w:val="TextBody"/>
        <w:rPr/>
      </w:pPr>
      <w:r>
        <w:rPr/>
        <w:t>La localisation géographique du datacenter où sera hébergé le serveur est un choix important.</w:t>
      </w:r>
    </w:p>
    <w:p>
      <w:pPr>
        <w:pStyle w:val="TextBody"/>
        <w:rPr/>
      </w:pPr>
      <w:r>
        <w:rPr/>
        <w:t>Les datacenters recommandés sont Gravelines (code GRA) ou Strasbourg (code SBG), qui sont tous deux situés en France.</w:t>
      </w:r>
    </w:p>
    <w:p>
      <w:pPr>
        <w:pStyle w:val="TextBody"/>
        <w:rPr/>
      </w:pPr>
      <w:r>
        <w:rPr/>
        <w:t>Cette recommandation est particulièrement importante pour la conformité APDP car elle garantit que les données personnelles restent hébergées dans l'Union Européenne, conformément aux exigences réglementaires.</w:t>
      </w:r>
    </w:p>
    <w:p>
      <w:pPr>
        <w:pStyle w:val="TextBody"/>
        <w:rPr/>
      </w:pPr>
      <w:r>
        <w:rPr>
          <w:rStyle w:val="StrongEmphasis"/>
          <w:rFonts w:eastAsia="Calibri"/>
          <w:color w:val="014276"/>
          <w:kern w:val="0"/>
          <w:sz w:val="24"/>
          <w:szCs w:val="32"/>
          <w:lang w:val="fr-FR" w:eastAsia="en-US" w:bidi="ar-SA"/>
        </w:rPr>
        <w:t>Étape 5 :</w:t>
      </w:r>
      <w:r>
        <w:rPr>
          <w:rStyle w:val="StrongEmphasis"/>
        </w:rPr>
        <w:t xml:space="preserve"> </w:t>
      </w:r>
      <w:r>
        <w:rPr>
          <w:rStyle w:val="StrongEmphasis"/>
          <w:b w:val="false"/>
          <w:bCs w:val="false"/>
        </w:rPr>
        <w:t>Configuration du réseau</w:t>
      </w:r>
    </w:p>
    <w:p>
      <w:pPr>
        <w:pStyle w:val="TextBody"/>
        <w:rPr/>
      </w:pPr>
      <w:r>
        <w:rPr/>
        <w:t>L'adresse IP publique du serveur sera attribuée automatiquement par OVH lors de la création du serveur.</w:t>
      </w:r>
    </w:p>
    <w:p>
      <w:pPr>
        <w:pStyle w:val="TextBody"/>
        <w:rPr/>
      </w:pPr>
      <w:r>
        <w:rPr/>
        <w:t>Si vous prévoyez d'avoir plusieurs serveurs qui devront communiquer entre eux de manière sécurisée via un réseau privé, vous devez activer l'option vRack qui permet de créer un réseau privé virtuel entre les serveurs.</w:t>
      </w:r>
    </w:p>
    <w:p>
      <w:pPr>
        <w:pStyle w:val="TextBody"/>
        <w:rPr/>
      </w:pPr>
      <w:r>
        <w:rPr>
          <w:rStyle w:val="StrongEmphasis"/>
          <w:rFonts w:eastAsia="Calibri"/>
          <w:color w:val="014276"/>
          <w:kern w:val="0"/>
          <w:sz w:val="24"/>
          <w:szCs w:val="32"/>
          <w:lang w:val="fr-FR" w:eastAsia="en-US" w:bidi="ar-SA"/>
        </w:rPr>
        <w:t xml:space="preserve">Étape 6 : </w:t>
      </w:r>
      <w:r>
        <w:rPr>
          <w:rStyle w:val="StrongEmphasis"/>
          <w:b w:val="false"/>
          <w:bCs w:val="false"/>
        </w:rPr>
        <w:t>Validation et finalisation de la commande</w:t>
      </w:r>
    </w:p>
    <w:p>
      <w:pPr>
        <w:pStyle w:val="TextBody"/>
        <w:rPr/>
      </w:pPr>
      <w:r>
        <w:rPr/>
        <w:t>Avant de finaliser la commande, vous devez vérifier attentivement le récapitulatif qui affiche toutes les caractéristiques du serveur commandé (type, distribution, localisation, coût mensuel).</w:t>
      </w:r>
    </w:p>
    <w:p>
      <w:pPr>
        <w:pStyle w:val="TextBody"/>
        <w:rPr/>
      </w:pPr>
      <w:r>
        <w:rPr/>
        <w:t>Une fois que vous avez vérifié que tout est correct, vous pouvez valider la commande.</w:t>
      </w:r>
    </w:p>
    <w:p>
      <w:pPr>
        <w:pStyle w:val="TextBody"/>
        <w:rPr/>
      </w:pPr>
      <w:r>
        <w:rPr/>
        <w:t>Immédiatement après la validation, vous devez noter soigneusement le nom technique du serveur attribué par OVH (par exemple vps-123456.vps.ovh.net) car vous en aurez besoin pour identifier le serveur.</w:t>
      </w:r>
    </w:p>
    <w:p>
      <w:pPr>
        <w:pStyle w:val="Heading2"/>
        <w:rPr/>
      </w:pPr>
      <w:bookmarkStart w:id="15" w:name="__RefHeading___Toc9117_2601441312"/>
      <w:bookmarkEnd w:id="15"/>
      <w:r>
        <w:rPr/>
        <w:t>Réception des identifiants de connexion</w:t>
      </w:r>
    </w:p>
    <w:p>
      <w:pPr>
        <w:pStyle w:val="TextBody"/>
        <w:rPr/>
      </w:pPr>
      <w:r>
        <w:rPr>
          <w:rStyle w:val="StrongEmphasis"/>
          <w:b w:val="false"/>
          <w:bCs w:val="false"/>
        </w:rPr>
        <w:t>Le délai de provisionnement après la commande est généralement de 5 à 15 minutes.</w:t>
      </w:r>
    </w:p>
    <w:p>
      <w:pPr>
        <w:pStyle w:val="TextBody"/>
        <w:rPr/>
      </w:pPr>
      <w:r>
        <w:rPr/>
        <w:t>Pendant ce délai, OVH installe le système d'exploitation et configure le serveur.</w:t>
      </w:r>
    </w:p>
    <w:p>
      <w:pPr>
        <w:pStyle w:val="TextBody"/>
        <w:rPr/>
      </w:pPr>
      <w:r>
        <w:rPr>
          <w:rStyle w:val="StrongEmphasis"/>
          <w:b w:val="false"/>
          <w:bCs w:val="false"/>
        </w:rPr>
        <w:t>Vous recevrez un email d'OVH contenant les informations essentielles suivantes :</w:t>
      </w:r>
    </w:p>
    <w:p>
      <w:pPr>
        <w:pStyle w:val="TextBody"/>
        <w:rPr/>
      </w:pPr>
      <w:r>
        <w:rPr/>
        <w:t xml:space="preserve">L'email contiendra : </w:t>
      </w:r>
    </w:p>
    <w:p>
      <w:pPr>
        <w:pStyle w:val="TextBody"/>
        <w:numPr>
          <w:ilvl w:val="0"/>
          <w:numId w:val="4"/>
        </w:numPr>
        <w:tabs>
          <w:tab w:val="clear" w:pos="708"/>
          <w:tab w:val="left" w:pos="0" w:leader="none"/>
        </w:tabs>
        <w:ind w:left="709" w:right="0" w:hanging="283"/>
        <w:rPr/>
      </w:pPr>
      <w:r>
        <w:rPr/>
        <w:t>L'adresse IP publique du serveur, qui est l'adresse que vous utiliserez pour vous connecter au serveur via SSH.</w:t>
      </w:r>
    </w:p>
    <w:p>
      <w:pPr>
        <w:pStyle w:val="TextBody"/>
        <w:numPr>
          <w:ilvl w:val="0"/>
          <w:numId w:val="4"/>
        </w:numPr>
        <w:tabs>
          <w:tab w:val="clear" w:pos="708"/>
          <w:tab w:val="left" w:pos="0" w:leader="none"/>
        </w:tabs>
        <w:ind w:left="709" w:right="0" w:hanging="283"/>
        <w:rPr/>
      </w:pPr>
      <w:r>
        <w:rPr/>
        <w:t>Le mot de passe temporaire du compte root, qui est généré automatiquement par OVH et qui devra être changé immédiatement lors de la première connexion pour des raisons de sécurité.</w:t>
      </w:r>
    </w:p>
    <w:p>
      <w:pPr>
        <w:pStyle w:val="TextBody"/>
        <w:rPr/>
      </w:pPr>
      <w:r>
        <w:rPr>
          <w:rStyle w:val="StrongEmphasis"/>
        </w:rPr>
        <w:t>Les actions immédiates que vous devez effectuer dès réception de cet email sont les suivantes :</w:t>
      </w:r>
    </w:p>
    <w:p>
      <w:pPr>
        <w:pStyle w:val="TextBody"/>
        <w:numPr>
          <w:ilvl w:val="0"/>
          <w:numId w:val="5"/>
        </w:numPr>
        <w:tabs>
          <w:tab w:val="clear" w:pos="708"/>
          <w:tab w:val="left" w:pos="0" w:leader="none"/>
        </w:tabs>
        <w:ind w:left="709" w:right="0" w:hanging="283"/>
        <w:rPr/>
      </w:pPr>
      <w:r>
        <w:rPr/>
        <w:t>Vous devez noter l'adresse IP du serveur dans un endroit accessible, car vous en aurez besoin à de nombreuses reprises.</w:t>
      </w:r>
    </w:p>
    <w:p>
      <w:pPr>
        <w:pStyle w:val="TextBody"/>
        <w:numPr>
          <w:ilvl w:val="0"/>
          <w:numId w:val="5"/>
        </w:numPr>
        <w:tabs>
          <w:tab w:val="clear" w:pos="708"/>
          <w:tab w:val="left" w:pos="0" w:leader="none"/>
        </w:tabs>
        <w:ind w:left="709" w:right="0" w:hanging="283"/>
        <w:rPr/>
      </w:pPr>
      <w:r>
        <w:rPr/>
        <w:t>Vous devez noter temporairement le mot de passe root fourni par OVH, mais uniquement pour la durée de la première connexion car ce mot de passe sera immédiatement changé.</w:t>
      </w:r>
    </w:p>
    <w:p>
      <w:pPr>
        <w:pStyle w:val="TextBody"/>
        <w:numPr>
          <w:ilvl w:val="0"/>
          <w:numId w:val="5"/>
        </w:numPr>
        <w:tabs>
          <w:tab w:val="clear" w:pos="708"/>
          <w:tab w:val="left" w:pos="0" w:leader="none"/>
        </w:tabs>
        <w:ind w:left="709" w:right="0" w:hanging="283"/>
        <w:rPr/>
      </w:pPr>
      <w:r>
        <w:rPr/>
        <w:t xml:space="preserve">Vous ne devez PAS stocker ce mot de passe temporaire dans </w:t>
      </w:r>
      <w:r>
        <w:rPr>
          <w:rStyle w:val="StrongEmphasis"/>
        </w:rPr>
        <w:t xml:space="preserve">NetByUs Password Manager (Passbolt) </w:t>
      </w:r>
      <w:r>
        <w:rPr/>
        <w:t>car il sera remplacé dans les premières minutes par un mot de passe complexe et sécurisé que vous définirez vous-même.</w:t>
      </w:r>
    </w:p>
    <w:p>
      <w:pPr>
        <w:pStyle w:val="Heading1"/>
        <w:rPr/>
      </w:pPr>
      <w:bookmarkStart w:id="16" w:name="__RefHeading___Toc9119_2601441312"/>
      <w:bookmarkEnd w:id="16"/>
      <w:r>
        <w:rPr/>
        <w:t>PREMIER ACCÈS ET VÉRIFICATIONS INITIALES</w:t>
      </w:r>
    </w:p>
    <w:p>
      <w:pPr>
        <w:pStyle w:val="Heading2"/>
        <w:rPr/>
      </w:pPr>
      <w:bookmarkStart w:id="17" w:name="__RefHeading___Toc9121_2601441312"/>
      <w:bookmarkEnd w:id="17"/>
      <w:r>
        <w:rPr/>
        <w:t>Connexion SSH initiale au serveur</w:t>
      </w:r>
    </w:p>
    <w:p>
      <w:pPr>
        <w:pStyle w:val="TextBody"/>
        <w:rPr/>
      </w:pPr>
      <w:r>
        <w:rPr/>
        <w:t>Pour vous connecter pour la première fois au serveur fraîchement provisionné, vous devez ouvrir un terminal sur votre poste de travail et exécuter la commande suivante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Depuis votre poste de travail, établir la connexion SSH en tant que roo</w:t>
            </w:r>
          </w:p>
          <w:p>
            <w:pPr>
              <w:pStyle w:val="PreformattedText"/>
              <w:widowControl w:val="false"/>
              <w:rPr/>
            </w:pPr>
            <w:r>
              <w:rPr>
                <w:rStyle w:val="SourceText"/>
              </w:rPr>
              <w:t>ssh root@IP_SERVEUR</w:t>
            </w:r>
          </w:p>
          <w:p>
            <w:pPr>
              <w:pStyle w:val="PreformattedText"/>
              <w:widowControl w:val="false"/>
              <w:spacing w:before="240" w:after="283"/>
              <w:rPr/>
            </w:pPr>
            <w:r>
              <w:rPr>
                <w:rStyle w:val="SourceText"/>
              </w:rPr>
              <w:t># Lorsque le système vous demande le mot de passe, entrer le mot de passe temporaire fourni par OVH</w:t>
            </w:r>
          </w:p>
        </w:tc>
      </w:tr>
    </w:tbl>
    <w:p>
      <w:pPr>
        <w:pStyle w:val="Heading3"/>
        <w:rPr>
          <w:rStyle w:val="StrongEmphasis"/>
          <w:rFonts w:ascii="Times New Roman" w:hAnsi="Times New Roman" w:eastAsia="Calibri" w:cs="DejaVu Sans"/>
          <w:color w:val="auto"/>
          <w:kern w:val="0"/>
          <w:sz w:val="24"/>
          <w:szCs w:val="32"/>
          <w:lang w:val="fr-FR" w:eastAsia="en-US" w:bidi="ar-SA"/>
        </w:rPr>
      </w:pPr>
      <w:r>
        <w:rPr/>
      </w:r>
    </w:p>
    <w:p>
      <w:pPr>
        <w:pStyle w:val="Heading3"/>
        <w:rPr/>
      </w:pPr>
      <w:bookmarkStart w:id="18" w:name="__RefHeading___Toc4817_1660568690"/>
      <w:bookmarkEnd w:id="18"/>
      <w:r>
        <w:rPr>
          <w:rStyle w:val="StrongEmphasis"/>
          <w:rFonts w:eastAsia="Calibri" w:cs="DejaVu Sans"/>
          <w:b/>
          <w:color w:val="014276"/>
          <w:kern w:val="0"/>
          <w:sz w:val="24"/>
          <w:szCs w:val="32"/>
          <w:lang w:val="fr-FR" w:eastAsia="en-US" w:bidi="ar-SA"/>
        </w:rPr>
        <w:t xml:space="preserve">ATTENTION : </w:t>
      </w:r>
      <w:r>
        <w:rPr>
          <w:rStyle w:val="StrongEmphasis"/>
          <w:rFonts w:eastAsia="Calibri"/>
          <w:b/>
          <w:bCs/>
          <w:color w:val="auto"/>
          <w:kern w:val="0"/>
          <w:sz w:val="24"/>
          <w:szCs w:val="32"/>
          <w:lang w:val="fr-FR" w:eastAsia="en-US" w:bidi="ar-SA"/>
        </w:rPr>
        <w:t>Cette première connexion en tant que root est une exception temporaire.</w:t>
      </w:r>
    </w:p>
    <w:p>
      <w:pPr>
        <w:pStyle w:val="TextBody"/>
        <w:rPr/>
      </w:pPr>
      <w:r>
        <w:rPr/>
        <w:t>L'accès root via SSH sera désactivé dans les étapes suivantes pour des raisons de sécurité. Cette connexion initiale en tant que root est nécessaire uniquement pour effectuer la configuration initiale du serveur avant de créer un compte administrateur personnel.</w:t>
      </w:r>
    </w:p>
    <w:p>
      <w:pPr>
        <w:pStyle w:val="Heading2"/>
        <w:rPr/>
      </w:pPr>
      <w:bookmarkStart w:id="19" w:name="__RefHeading___Toc9125_2601441312"/>
      <w:bookmarkEnd w:id="19"/>
      <w:r>
        <w:rPr/>
        <w:t>Vérifications des caractéristiques du serveur</w:t>
      </w:r>
    </w:p>
    <w:p>
      <w:pPr>
        <w:pStyle w:val="TextBody"/>
        <w:rPr/>
      </w:pPr>
      <w:r>
        <w:rPr/>
        <w:t>Une fois connecté au serveur, vous devez vérifier que les caractéristiques du serveur correspondent bien à ce qui a été commandé. Les commandes suivantes vous permettent d'effectuer ces vérifications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les caractéristiques du processeur (nombre de cœurs, modèle)</w:t>
            </w:r>
          </w:p>
          <w:p>
            <w:pPr>
              <w:pStyle w:val="PreformattedText"/>
              <w:widowControl w:val="false"/>
              <w:rPr/>
            </w:pPr>
            <w:r>
              <w:rPr>
                <w:rStyle w:val="SourceText"/>
              </w:rPr>
              <w:t>lscpu</w:t>
            </w:r>
          </w:p>
          <w:p>
            <w:pPr>
              <w:pStyle w:val="PreformattedText"/>
              <w:widowControl w:val="false"/>
              <w:rPr/>
            </w:pPr>
            <w:r>
              <w:rPr>
                <w:rStyle w:val="SourceText"/>
              </w:rPr>
              <w:t># Vérifier la quantité de mémoire RAM disponible</w:t>
            </w:r>
          </w:p>
          <w:p>
            <w:pPr>
              <w:pStyle w:val="PreformattedText"/>
              <w:widowControl w:val="false"/>
              <w:rPr/>
            </w:pPr>
            <w:r>
              <w:rPr>
                <w:rStyle w:val="SourceText"/>
              </w:rPr>
              <w:t>free -h</w:t>
            </w:r>
          </w:p>
          <w:p>
            <w:pPr>
              <w:pStyle w:val="PreformattedText"/>
              <w:widowControl w:val="false"/>
              <w:rPr/>
            </w:pPr>
            <w:r>
              <w:rPr>
                <w:rStyle w:val="SourceText"/>
              </w:rPr>
              <w:t># Vérifier l'espace disque disponible et les partitions</w:t>
            </w:r>
          </w:p>
          <w:p>
            <w:pPr>
              <w:pStyle w:val="PreformattedText"/>
              <w:widowControl w:val="false"/>
              <w:rPr/>
            </w:pPr>
            <w:r>
              <w:rPr>
                <w:rStyle w:val="SourceText"/>
              </w:rPr>
              <w:t>df -h</w:t>
            </w:r>
          </w:p>
          <w:p>
            <w:pPr>
              <w:pStyle w:val="PreformattedText"/>
              <w:widowControl w:val="false"/>
              <w:rPr/>
            </w:pPr>
            <w:r>
              <w:rPr>
                <w:rStyle w:val="SourceText"/>
              </w:rPr>
              <w:t># Vérifier la configuration réseau et les adresses IP</w:t>
            </w:r>
          </w:p>
          <w:p>
            <w:pPr>
              <w:pStyle w:val="PreformattedText"/>
              <w:widowControl w:val="false"/>
              <w:spacing w:before="240" w:after="283"/>
              <w:rPr/>
            </w:pPr>
            <w:r>
              <w:rPr>
                <w:rStyle w:val="SourceText"/>
              </w:rPr>
              <w:t>ip a</w:t>
            </w:r>
          </w:p>
        </w:tc>
      </w:tr>
    </w:tbl>
    <w:p>
      <w:pPr>
        <w:pStyle w:val="PreformattedText"/>
        <w:rPr>
          <w:rFonts w:cs="Times New Roman"/>
          <w:szCs w:val="24"/>
        </w:rPr>
      </w:pPr>
      <w:r>
        <w:rPr>
          <w:rFonts w:cs="Times New Roman"/>
          <w:szCs w:val="24"/>
        </w:rPr>
      </w:r>
    </w:p>
    <w:p>
      <w:pPr>
        <w:pStyle w:val="TextBody"/>
        <w:rPr/>
      </w:pPr>
      <w:r>
        <w:rPr/>
        <w:t>Après avoir exécuté ces commandes, vous devez vérifier que la distribution et la version du système d'exploitation sont correctes en exécutant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Afficher les informations détaillées sur la distribution Linux installée</w:t>
            </w:r>
          </w:p>
          <w:p>
            <w:pPr>
              <w:pStyle w:val="PreformattedText"/>
              <w:widowControl w:val="false"/>
              <w:rPr/>
            </w:pPr>
            <w:r>
              <w:rPr>
                <w:rStyle w:val="SourceText"/>
              </w:rPr>
              <w:t>cat /etc/os-release</w:t>
            </w:r>
          </w:p>
          <w:p>
            <w:pPr>
              <w:pStyle w:val="PreformattedText"/>
              <w:widowControl w:val="false"/>
              <w:spacing w:before="240" w:after="283"/>
              <w:rPr/>
            </w:pPr>
            <w:r>
              <w:rPr>
                <w:rStyle w:val="SourceText"/>
              </w:rPr>
              <w:t># Le résultat doit afficher : Ubuntu 22.04 LTS (Jammy Jellyfish) ou Ubuntu 24.04 LTS (Noble Numbat)</w:t>
            </w:r>
          </w:p>
        </w:tc>
      </w:tr>
    </w:tbl>
    <w:p>
      <w:pPr>
        <w:pStyle w:val="TextBody"/>
        <w:rPr>
          <w:rFonts w:cs="Times New Roman"/>
          <w:szCs w:val="24"/>
        </w:rPr>
      </w:pPr>
      <w:r>
        <w:rPr>
          <w:rFonts w:cs="Times New Roman"/>
          <w:szCs w:val="24"/>
        </w:rPr>
      </w:r>
    </w:p>
    <w:p>
      <w:pPr>
        <w:pStyle w:val="TextBody"/>
        <w:rPr/>
      </w:pPr>
      <w:r>
        <w:rPr/>
        <w:t>Vous devez également vérifier que la connectivité réseau du serveur fonctionne correctement en testant la capacité à joindre des serveurs externes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Tester la connectivité vers les serveurs DNS publics de Google</w:t>
            </w:r>
          </w:p>
          <w:p>
            <w:pPr>
              <w:pStyle w:val="PreformattedText"/>
              <w:widowControl w:val="false"/>
              <w:rPr/>
            </w:pPr>
            <w:r>
              <w:rPr>
                <w:rStyle w:val="SourceText"/>
              </w:rPr>
              <w:t>ping -c 3 8.8.8.8</w:t>
            </w:r>
          </w:p>
          <w:p>
            <w:pPr>
              <w:pStyle w:val="PreformattedText"/>
              <w:widowControl w:val="false"/>
              <w:rPr/>
            </w:pPr>
            <w:r>
              <w:rPr>
                <w:rStyle w:val="SourceText"/>
              </w:rPr>
              <w:t># Tester la résolution DNS et la connectivité vers le site OVH</w:t>
            </w:r>
          </w:p>
          <w:p>
            <w:pPr>
              <w:pStyle w:val="PreformattedText"/>
              <w:widowControl w:val="false"/>
              <w:spacing w:before="240" w:after="283"/>
              <w:rPr/>
            </w:pPr>
            <w:r>
              <w:rPr>
                <w:rStyle w:val="SourceText"/>
              </w:rPr>
              <w:t>ping -c 3 ovh.com</w:t>
            </w:r>
          </w:p>
        </w:tc>
      </w:tr>
    </w:tbl>
    <w:p>
      <w:pPr>
        <w:pStyle w:val="PreformattedText"/>
        <w:rPr>
          <w:rFonts w:cs="Times New Roman"/>
          <w:szCs w:val="24"/>
        </w:rPr>
      </w:pPr>
      <w:r>
        <w:rPr>
          <w:rFonts w:cs="Times New Roman"/>
          <w:szCs w:val="24"/>
        </w:rPr>
      </w:r>
    </w:p>
    <w:p>
      <w:pPr>
        <w:pStyle w:val="TextBody"/>
        <w:rPr/>
      </w:pPr>
      <w:r>
        <w:rPr>
          <w:rStyle w:val="StrongEmphasis"/>
        </w:rPr>
        <w:t>Les points de validation à vérifier sont les suivants :</w:t>
      </w:r>
    </w:p>
    <w:p>
      <w:pPr>
        <w:pStyle w:val="TextBody"/>
        <w:numPr>
          <w:ilvl w:val="0"/>
          <w:numId w:val="6"/>
        </w:numPr>
        <w:tabs>
          <w:tab w:val="clear" w:pos="708"/>
          <w:tab w:val="left" w:pos="0" w:leader="none"/>
        </w:tabs>
        <w:ind w:left="709" w:right="0" w:hanging="283"/>
        <w:rPr/>
      </w:pPr>
      <w:r>
        <w:rPr/>
        <w:t>Les ressources matérielles (CPU, RAM, disque) correspondent aux spécifications de l'offre commandée.</w:t>
      </w:r>
    </w:p>
    <w:p>
      <w:pPr>
        <w:pStyle w:val="TextBody"/>
        <w:numPr>
          <w:ilvl w:val="0"/>
          <w:numId w:val="6"/>
        </w:numPr>
        <w:tabs>
          <w:tab w:val="clear" w:pos="708"/>
          <w:tab w:val="left" w:pos="0" w:leader="none"/>
        </w:tabs>
        <w:ind w:left="709" w:right="0" w:hanging="283"/>
        <w:rPr/>
      </w:pPr>
      <w:r>
        <w:rPr/>
        <w:t>La distribution Ubuntu LTS installée correspond à la version qui a été choisie lors de la commande.</w:t>
      </w:r>
    </w:p>
    <w:p>
      <w:pPr>
        <w:pStyle w:val="TextBody"/>
        <w:numPr>
          <w:ilvl w:val="0"/>
          <w:numId w:val="6"/>
        </w:numPr>
        <w:tabs>
          <w:tab w:val="clear" w:pos="708"/>
          <w:tab w:val="left" w:pos="0" w:leader="none"/>
        </w:tabs>
        <w:ind w:left="709" w:right="0" w:hanging="283"/>
        <w:rPr/>
      </w:pPr>
      <w:r>
        <w:rPr/>
        <w:t>La connectivité réseau fonctionne correctement, c'est-à-dire que le serveur peut joindre Internet et résoudre les noms de domaine.</w:t>
      </w:r>
    </w:p>
    <w:p>
      <w:pPr>
        <w:pStyle w:val="Heading1"/>
        <w:rPr/>
      </w:pPr>
      <w:bookmarkStart w:id="20" w:name="__RefHeading___Toc9127_2601441312"/>
      <w:bookmarkEnd w:id="20"/>
      <w:r>
        <w:rPr/>
        <w:t>CONFIGURATION DE SÉCURITÉ INITIALE</w:t>
      </w:r>
    </w:p>
    <w:p>
      <w:pPr>
        <w:pStyle w:val="Heading2"/>
        <w:rPr/>
      </w:pPr>
      <w:bookmarkStart w:id="21" w:name="__RefHeading___Toc9129_2601441312"/>
      <w:bookmarkEnd w:id="21"/>
      <w:r>
        <w:rPr/>
        <w:t>Changement du mot de passe root</w:t>
      </w:r>
    </w:p>
    <w:p>
      <w:pPr>
        <w:pStyle w:val="TextBody"/>
        <w:rPr/>
      </w:pPr>
      <w:r>
        <w:rPr>
          <w:rStyle w:val="StrongEmphasis"/>
          <w:color w:val="014276"/>
          <w:kern w:val="0"/>
          <w:sz w:val="24"/>
          <w:szCs w:val="24"/>
          <w:lang w:val="fr-FR" w:eastAsia="en-US" w:bidi="ar-SA"/>
        </w:rPr>
        <w:t>CRITIQUE :</w:t>
      </w:r>
      <w:r>
        <w:rPr>
          <w:rStyle w:val="StrongEmphasis"/>
        </w:rPr>
        <w:t xml:space="preserve"> Cette étape doit être effectuée EN PREMIER, immédiatement après la première connexion au serveur.</w:t>
      </w:r>
      <w:r>
        <w:rPr/>
        <w:t xml:space="preserve"> Le mot de passe temporaire fourni par OVH est considéré comme non sécurisé car il a été transmis par email.</w:t>
      </w:r>
    </w:p>
    <w:p>
      <w:pPr>
        <w:pStyle w:val="TextBody"/>
        <w:rPr/>
      </w:pPr>
      <w:r>
        <w:rPr/>
        <w:t>Pour changer le mot de passe root, vous devez exécuter la commande suivante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Lancer la commande de changement de mot de passe pour le compte root</w:t>
            </w:r>
          </w:p>
          <w:p>
            <w:pPr>
              <w:pStyle w:val="PreformattedText"/>
              <w:widowControl w:val="false"/>
              <w:rPr/>
            </w:pPr>
            <w:r>
              <w:rPr>
                <w:rStyle w:val="SourceText"/>
              </w:rPr>
              <w:t>passwd root</w:t>
            </w:r>
          </w:p>
          <w:p>
            <w:pPr>
              <w:pStyle w:val="PreformattedText"/>
              <w:widowControl w:val="false"/>
              <w:spacing w:before="240" w:after="283"/>
              <w:rPr/>
            </w:pPr>
            <w:r>
              <w:rPr>
                <w:rStyle w:val="SourceText"/>
              </w:rPr>
              <w:t># Le système vous demandera d'entrer un nouveau mot de passe, puis de le confirmer en le saisissant une deuxième fois</w:t>
            </w:r>
          </w:p>
        </w:tc>
      </w:tr>
    </w:tbl>
    <w:p>
      <w:pPr>
        <w:pStyle w:val="TextBody"/>
        <w:rPr>
          <w:rFonts w:cs="Times New Roman"/>
          <w:szCs w:val="24"/>
        </w:rPr>
      </w:pPr>
      <w:r>
        <w:rPr>
          <w:rFonts w:cs="Times New Roman"/>
          <w:szCs w:val="24"/>
        </w:rPr>
      </w:r>
    </w:p>
    <w:p>
      <w:pPr>
        <w:pStyle w:val="TextBody"/>
        <w:rPr/>
      </w:pPr>
      <w:r>
        <w:rPr/>
        <w:t xml:space="preserve">Le nouveau mot de passe que vous définissez doit respecter les critères de complexité définis dans le document </w:t>
      </w:r>
      <w:r>
        <w:rPr>
          <w:rStyle w:val="StrongEmphasis"/>
        </w:rPr>
        <w:t>DOC-REF-01</w:t>
      </w:r>
      <w:r>
        <w:rPr/>
        <w:t xml:space="preserve"> section </w:t>
      </w:r>
      <w:r>
        <w:rPr>
          <w:rStyle w:val="StrongEmphasis"/>
        </w:rPr>
        <w:t>[REF-MDP]</w:t>
      </w:r>
      <w:r>
        <w:rPr/>
        <w:t>. Ces critères exigent un mot de passe d'au moins 14 caractères contenant des lettres majuscules, des lettres minuscules, des chiffres et des caractères spéciaux.</w:t>
      </w:r>
    </w:p>
    <w:p>
      <w:pPr>
        <w:pStyle w:val="TextBody"/>
        <w:rPr/>
      </w:pPr>
      <w:r>
        <w:rPr>
          <w:rStyle w:val="StrongEmphasis"/>
        </w:rPr>
        <w:t>Immédiatement après avoir défini le nouveau mot de passe root, vous devez le stocker de manière sécurisée dans Passbolt :</w:t>
      </w:r>
    </w:p>
    <w:p>
      <w:pPr>
        <w:pStyle w:val="TextBody"/>
        <w:numPr>
          <w:ilvl w:val="0"/>
          <w:numId w:val="7"/>
        </w:numPr>
        <w:tabs>
          <w:tab w:val="clear" w:pos="708"/>
          <w:tab w:val="left" w:pos="0" w:leader="none"/>
        </w:tabs>
        <w:ind w:left="709" w:right="0" w:hanging="283"/>
        <w:rPr/>
      </w:pPr>
      <w:r>
        <w:rPr/>
        <w:t xml:space="preserve">Ouvrez l'interface web de </w:t>
      </w:r>
      <w:r>
        <w:rPr>
          <w:rStyle w:val="StrongEmphasis"/>
        </w:rPr>
        <w:t xml:space="preserve">NetByUs Password Manager (Passbolt) </w:t>
      </w:r>
      <w:r>
        <w:rPr/>
        <w:t>et connectez-vous avec vos identifiants personnels.</w:t>
      </w:r>
    </w:p>
    <w:p>
      <w:pPr>
        <w:pStyle w:val="TextBody"/>
        <w:numPr>
          <w:ilvl w:val="0"/>
          <w:numId w:val="7"/>
        </w:numPr>
        <w:tabs>
          <w:tab w:val="clear" w:pos="708"/>
          <w:tab w:val="left" w:pos="0" w:leader="none"/>
        </w:tabs>
        <w:ind w:left="709" w:right="0" w:hanging="283"/>
        <w:rPr/>
      </w:pPr>
      <w:r>
        <w:rPr/>
        <w:t xml:space="preserve">Créez une nouvelle entrée dans </w:t>
      </w:r>
      <w:r>
        <w:rPr>
          <w:rStyle w:val="StrongEmphasis"/>
        </w:rPr>
        <w:t xml:space="preserve">NetByUs Password Manager (Passbolt) </w:t>
      </w:r>
      <w:r>
        <w:rPr/>
        <w:t>avec un nom descriptif tel que le nom du serveur.</w:t>
      </w:r>
    </w:p>
    <w:p>
      <w:pPr>
        <w:pStyle w:val="TextBody"/>
        <w:numPr>
          <w:ilvl w:val="0"/>
          <w:numId w:val="7"/>
        </w:numPr>
        <w:tabs>
          <w:tab w:val="clear" w:pos="708"/>
          <w:tab w:val="left" w:pos="0" w:leader="none"/>
        </w:tabs>
        <w:ind w:left="709" w:right="0" w:hanging="283"/>
        <w:rPr/>
      </w:pPr>
      <w:r>
        <w:rPr/>
        <w:t>Collez le mot de passe root que vous venez de définir dans le champ mot de passe de cette entrée.</w:t>
      </w:r>
    </w:p>
    <w:p>
      <w:pPr>
        <w:pStyle w:val="TextBody"/>
        <w:numPr>
          <w:ilvl w:val="0"/>
          <w:numId w:val="7"/>
        </w:numPr>
        <w:tabs>
          <w:tab w:val="clear" w:pos="708"/>
          <w:tab w:val="left" w:pos="0" w:leader="none"/>
        </w:tabs>
        <w:ind w:left="709" w:right="0" w:hanging="283"/>
        <w:rPr/>
      </w:pPr>
      <w:r>
        <w:rPr/>
        <w:t xml:space="preserve">Dans le champ description de l'entrée </w:t>
      </w:r>
      <w:r>
        <w:rPr>
          <w:rStyle w:val="StrongEmphasis"/>
        </w:rPr>
        <w:t>NetByUs Password Manager (Passbolt)</w:t>
      </w:r>
      <w:r>
        <w:rPr/>
        <w:t>, ajoutez l'adresse IP du serveur pour faciliter son identification.</w:t>
      </w:r>
    </w:p>
    <w:p>
      <w:pPr>
        <w:pStyle w:val="TextBody"/>
        <w:numPr>
          <w:ilvl w:val="0"/>
          <w:numId w:val="7"/>
        </w:numPr>
        <w:tabs>
          <w:tab w:val="clear" w:pos="708"/>
          <w:tab w:val="left" w:pos="0" w:leader="none"/>
        </w:tabs>
        <w:ind w:left="709" w:right="0" w:hanging="283"/>
        <w:rPr/>
      </w:pPr>
      <w:r>
        <w:rPr/>
        <w:t xml:space="preserve">Sauvegardez l'entrée </w:t>
      </w:r>
      <w:r>
        <w:rPr>
          <w:rStyle w:val="StrongEmphasis"/>
        </w:rPr>
        <w:t>NetByUs Password Manager (Passbolt)</w:t>
      </w:r>
      <w:r>
        <w:rPr/>
        <w:t xml:space="preserve"> pour garantir que le mot de passe est stocké de manière sécurisée.</w:t>
      </w:r>
    </w:p>
    <w:p>
      <w:pPr>
        <w:pStyle w:val="Heading2"/>
        <w:rPr/>
      </w:pPr>
      <w:bookmarkStart w:id="22" w:name="__RefHeading___Toc9131_2601441312"/>
      <w:bookmarkEnd w:id="22"/>
      <w:r>
        <w:rPr/>
        <w:t>Mise à jour initiale du système</w:t>
      </w:r>
    </w:p>
    <w:p>
      <w:pPr>
        <w:pStyle w:val="TextBody"/>
        <w:rPr/>
      </w:pPr>
      <w:r>
        <w:rPr/>
        <w:t>Avant de procéder à toute autre configuration, vous devez mettre à jour complètement le système pour vous assurer que tous les paquets installés sont à leur dernière version, incluant les correctifs de sécurité les plus récents.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Mettre à jour la liste des paquets disponibles dans les dépôts Ubuntu</w:t>
            </w:r>
          </w:p>
          <w:p>
            <w:pPr>
              <w:pStyle w:val="PreformattedText"/>
              <w:widowControl w:val="false"/>
              <w:rPr/>
            </w:pPr>
            <w:r>
              <w:rPr>
                <w:rStyle w:val="SourceText"/>
              </w:rPr>
              <w:t>apt update</w:t>
            </w:r>
          </w:p>
          <w:p>
            <w:pPr>
              <w:pStyle w:val="PreformattedText"/>
              <w:widowControl w:val="false"/>
              <w:rPr/>
            </w:pPr>
            <w:r>
              <w:rPr>
                <w:rStyle w:val="SourceText"/>
              </w:rPr>
              <w:t># Installer toutes les mises à jour disponibles sans demander de confirmation</w:t>
            </w:r>
          </w:p>
          <w:p>
            <w:pPr>
              <w:pStyle w:val="PreformattedText"/>
              <w:widowControl w:val="false"/>
              <w:spacing w:before="240" w:after="283"/>
              <w:rPr/>
            </w:pPr>
            <w:r>
              <w:rPr>
                <w:rStyle w:val="SourceText"/>
              </w:rPr>
              <w:t>apt upgrade -y</w:t>
            </w:r>
          </w:p>
        </w:tc>
      </w:tr>
    </w:tbl>
    <w:p>
      <w:pPr>
        <w:pStyle w:val="TextBody"/>
        <w:rPr>
          <w:rFonts w:cs="Times New Roman"/>
          <w:szCs w:val="24"/>
        </w:rPr>
      </w:pPr>
      <w:r>
        <w:rPr>
          <w:rFonts w:cs="Times New Roman"/>
          <w:szCs w:val="24"/>
        </w:rPr>
      </w:r>
    </w:p>
    <w:p>
      <w:pPr>
        <w:pStyle w:val="TextBody"/>
        <w:rPr/>
      </w:pPr>
      <w:r>
        <w:rPr/>
        <w:t>Après l'installation des mises à jour, vous devez vérifier si un redémarrage du serveur est nécessaire (certaines mises à jour, notamment celles du kernel, nécessitent un redémarrage pour être pleinement appliquées)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si un fichier indiquant qu'un redémarrage est requis existe</w:t>
            </w:r>
          </w:p>
          <w:p>
            <w:pPr>
              <w:pStyle w:val="PreformattedText"/>
              <w:widowControl w:val="false"/>
              <w:rPr/>
            </w:pPr>
            <w:r>
              <w:rPr>
                <w:rStyle w:val="SourceText"/>
              </w:rPr>
              <w:t>if [ -f /var/run/reboot-required ]; then</w:t>
            </w:r>
          </w:p>
          <w:p>
            <w:pPr>
              <w:pStyle w:val="PreformattedText"/>
              <w:widowControl w:val="false"/>
              <w:rPr/>
            </w:pPr>
            <w:r>
              <w:rPr>
                <w:rStyle w:val="SourceText"/>
              </w:rPr>
              <w:t xml:space="preserve">    </w:t>
            </w:r>
            <w:r>
              <w:rPr>
                <w:rStyle w:val="SourceText"/>
              </w:rPr>
              <w:t>echo "Un redémarrage du serveur sera nécessaire"</w:t>
            </w:r>
          </w:p>
          <w:p>
            <w:pPr>
              <w:pStyle w:val="PreformattedText"/>
              <w:widowControl w:val="false"/>
              <w:rPr/>
            </w:pPr>
            <w:r>
              <w:rPr>
                <w:rStyle w:val="SourceText"/>
              </w:rPr>
              <w:t xml:space="preserve">    </w:t>
            </w:r>
            <w:r>
              <w:rPr>
                <w:rStyle w:val="SourceText"/>
              </w:rPr>
              <w:t># Note: Le redémarrage sera planifié après la configuration complète du serveur</w:t>
            </w:r>
          </w:p>
          <w:p>
            <w:pPr>
              <w:pStyle w:val="PreformattedText"/>
              <w:widowControl w:val="false"/>
              <w:spacing w:before="240" w:after="283"/>
              <w:rPr/>
            </w:pPr>
            <w:r>
              <w:rPr>
                <w:rStyle w:val="SourceText"/>
              </w:rPr>
              <w:t>fi</w:t>
            </w:r>
          </w:p>
        </w:tc>
      </w:tr>
    </w:tbl>
    <w:p>
      <w:pPr>
        <w:pStyle w:val="TextBody"/>
        <w:rPr/>
      </w:pPr>
      <w:r>
        <w:rPr/>
        <w:t>Si un redémarrage est nécessaire, ne le faites pas immédiatement. Vous planifierez le redémarrage après avoir terminé toute la configuration de sécurité pour éviter de devoir vous reconnecter plusieurs fois.</w:t>
      </w:r>
    </w:p>
    <w:p>
      <w:pPr>
        <w:pStyle w:val="Heading2"/>
        <w:rPr/>
      </w:pPr>
      <w:bookmarkStart w:id="23" w:name="__RefHeading___Toc9133_2601441312"/>
      <w:bookmarkEnd w:id="23"/>
      <w:r>
        <w:rPr/>
        <w:t>Configuration des paramètres système de base</w:t>
      </w:r>
    </w:p>
    <w:p>
      <w:pPr>
        <w:pStyle w:val="Heading3"/>
        <w:rPr/>
      </w:pPr>
      <w:bookmarkStart w:id="24" w:name="__RefHeading___Toc9135_2601441312"/>
      <w:bookmarkEnd w:id="24"/>
      <w:r>
        <w:rPr/>
        <w:t>Configuration du nom d'hôte (hostname)</w:t>
      </w:r>
    </w:p>
    <w:p>
      <w:pPr>
        <w:pStyle w:val="TextBody"/>
        <w:rPr/>
      </w:pPr>
      <w:r>
        <w:rPr/>
        <w:t>Le nom d'hôte du serveur doit suivre une convention de nommage standardisée qui facilite l'identification du serveur.</w:t>
      </w:r>
    </w:p>
    <w:p>
      <w:pPr>
        <w:pStyle w:val="TextBody"/>
        <w:rPr/>
      </w:pPr>
      <w:r>
        <w:rPr/>
        <w:t xml:space="preserve">Pour plus de détails sur cette convention, consultez le document </w:t>
      </w:r>
      <w:r>
        <w:rPr>
          <w:rStyle w:val="StrongEmphasis"/>
        </w:rPr>
        <w:t>DOC-REF-01</w:t>
      </w:r>
      <w:r>
        <w:rPr/>
        <w:t xml:space="preserve"> section </w:t>
      </w:r>
      <w:r>
        <w:rPr>
          <w:rStyle w:val="StrongEmphasis"/>
        </w:rPr>
        <w:t>[REF-HOSTNAME]</w:t>
      </w:r>
      <w:r>
        <w:rPr/>
        <w:t>.</w:t>
      </w:r>
    </w:p>
    <w:p>
      <w:pPr>
        <w:pStyle w:val="TextBody"/>
        <w:rPr/>
      </w:pPr>
      <w:r>
        <w:rPr>
          <w:rStyle w:val="StrongEmphasis"/>
        </w:rPr>
        <w:t>Les points de validation pour cette étape sont :</w:t>
      </w:r>
    </w:p>
    <w:p>
      <w:pPr>
        <w:pStyle w:val="TextBody"/>
        <w:numPr>
          <w:ilvl w:val="0"/>
          <w:numId w:val="8"/>
        </w:numPr>
        <w:tabs>
          <w:tab w:val="clear" w:pos="708"/>
          <w:tab w:val="left" w:pos="0" w:leader="none"/>
        </w:tabs>
        <w:ind w:left="709" w:right="0" w:hanging="283"/>
        <w:rPr/>
      </w:pPr>
      <w:r>
        <w:rPr/>
        <w:t xml:space="preserve">Le nom d'hôte configuré respecte strictement la convention de nommage définie dans </w:t>
      </w:r>
      <w:r>
        <w:rPr>
          <w:rStyle w:val="StrongEmphasis"/>
        </w:rPr>
        <w:t>DOC-REF-01</w:t>
      </w:r>
      <w:r>
        <w:rPr/>
        <w:t>.</w:t>
      </w:r>
    </w:p>
    <w:p>
      <w:pPr>
        <w:pStyle w:val="TextBody"/>
        <w:numPr>
          <w:ilvl w:val="0"/>
          <w:numId w:val="8"/>
        </w:numPr>
        <w:tabs>
          <w:tab w:val="clear" w:pos="708"/>
          <w:tab w:val="left" w:pos="0" w:leader="none"/>
        </w:tabs>
        <w:ind w:left="709" w:right="0" w:hanging="283"/>
        <w:rPr/>
      </w:pPr>
      <w:r>
        <w:rPr/>
        <w:t>Le nom d'hôte a été correctement ajouté dans le fichier /etc/hosts pour permettre la résolution locale.</w:t>
      </w:r>
    </w:p>
    <w:p>
      <w:pPr>
        <w:pStyle w:val="Heading3"/>
        <w:rPr/>
      </w:pPr>
      <w:bookmarkStart w:id="25" w:name="__RefHeading___Toc9137_2601441312"/>
      <w:bookmarkEnd w:id="25"/>
      <w:r>
        <w:rPr/>
        <w:t>Configuration du fuseau horaire et de la synchronisation NTP</w:t>
      </w:r>
    </w:p>
    <w:p>
      <w:pPr>
        <w:pStyle w:val="TextBody"/>
        <w:rPr/>
      </w:pPr>
      <w:r>
        <w:rPr/>
        <w:t>La configuration correcte du fuseau horaire et de la synchronisation temporelle est essentielle pour garantir que tous les logs sont horodatés correctement, ce qui est une exigence critique pour la conformité APDP.</w:t>
      </w:r>
    </w:p>
    <w:p>
      <w:pPr>
        <w:pStyle w:val="TextBody"/>
        <w:rPr/>
      </w:pPr>
      <w:r>
        <w:rPr/>
        <w:t xml:space="preserve">Pour plus de détails sur cette configuration, consultez le document </w:t>
      </w:r>
      <w:r>
        <w:rPr>
          <w:rStyle w:val="StrongEmphasis"/>
        </w:rPr>
        <w:t>DOC-REF-01</w:t>
      </w:r>
      <w:r>
        <w:rPr/>
        <w:t xml:space="preserve"> section </w:t>
      </w:r>
      <w:r>
        <w:rPr>
          <w:rStyle w:val="StrongEmphasis"/>
        </w:rPr>
        <w:t>[REF-TIMEZONE]</w:t>
      </w:r>
      <w:r>
        <w:rPr/>
        <w:t>.</w:t>
      </w:r>
    </w:p>
    <w:p>
      <w:pPr>
        <w:pStyle w:val="TextBody"/>
        <w:rPr/>
      </w:pPr>
      <w:r>
        <w:rPr>
          <w:rStyle w:val="StrongEmphasis"/>
        </w:rPr>
        <w:t>Les points de validation pour cette étape sont :</w:t>
      </w:r>
    </w:p>
    <w:p>
      <w:pPr>
        <w:pStyle w:val="TextBody"/>
        <w:numPr>
          <w:ilvl w:val="0"/>
          <w:numId w:val="9"/>
        </w:numPr>
        <w:tabs>
          <w:tab w:val="clear" w:pos="708"/>
          <w:tab w:val="left" w:pos="0" w:leader="none"/>
        </w:tabs>
        <w:ind w:left="709" w:right="0" w:hanging="283"/>
        <w:rPr/>
      </w:pPr>
      <w:r>
        <w:rPr/>
        <w:t>Le fuseau horaire est correctement configuré sur Africa/Porto-Novo.</w:t>
      </w:r>
    </w:p>
    <w:p>
      <w:pPr>
        <w:pStyle w:val="TextBody"/>
        <w:numPr>
          <w:ilvl w:val="0"/>
          <w:numId w:val="9"/>
        </w:numPr>
        <w:tabs>
          <w:tab w:val="clear" w:pos="708"/>
          <w:tab w:val="left" w:pos="0" w:leader="none"/>
        </w:tabs>
        <w:ind w:left="709" w:right="0" w:hanging="283"/>
        <w:rPr/>
      </w:pPr>
      <w:r>
        <w:rPr/>
        <w:t>Le service NTP est actif et synchronise l'horloge du serveur.</w:t>
      </w:r>
    </w:p>
    <w:p>
      <w:pPr>
        <w:pStyle w:val="Heading3"/>
        <w:rPr/>
      </w:pPr>
      <w:bookmarkStart w:id="26" w:name="__RefHeading___Toc9139_2601441312"/>
      <w:bookmarkEnd w:id="26"/>
      <w:r>
        <w:rPr/>
        <w:t>Configuration de la locale (langue système)</w:t>
      </w:r>
    </w:p>
    <w:p>
      <w:pPr>
        <w:pStyle w:val="TextBody"/>
        <w:rPr/>
      </w:pPr>
      <w:r>
        <w:rPr/>
        <w:t>La locale définit la langue et le jeu de caractères utilisés par le système, pour une compatibilité maximale avec les logiciels.</w:t>
      </w:r>
    </w:p>
    <w:p>
      <w:pPr>
        <w:pStyle w:val="TextBody"/>
        <w:rPr/>
      </w:pPr>
      <w:r>
        <w:rPr/>
        <w:t xml:space="preserve">Pour plus de détails, consultez le document </w:t>
      </w:r>
      <w:r>
        <w:rPr>
          <w:rStyle w:val="StrongEmphasis"/>
        </w:rPr>
        <w:t>DOC-REF-01</w:t>
      </w:r>
      <w:r>
        <w:rPr/>
        <w:t xml:space="preserve"> section </w:t>
      </w:r>
      <w:r>
        <w:rPr>
          <w:rStyle w:val="StrongEmphasis"/>
        </w:rPr>
        <w:t>[REF-LOCALE]</w:t>
      </w:r>
      <w:r>
        <w:rPr/>
        <w:t>.</w:t>
      </w:r>
    </w:p>
    <w:p>
      <w:pPr>
        <w:pStyle w:val="Heading1"/>
        <w:rPr/>
      </w:pPr>
      <w:bookmarkStart w:id="27" w:name="__RefHeading___Toc9141_2601441312"/>
      <w:bookmarkEnd w:id="27"/>
      <w:r>
        <w:rPr/>
        <w:t>GESTION DES COMPTES UTILISATEURS</w:t>
      </w:r>
    </w:p>
    <w:p>
      <w:pPr>
        <w:pStyle w:val="Heading2"/>
        <w:rPr/>
      </w:pPr>
      <w:bookmarkStart w:id="28" w:name="__RefHeading___Toc9143_2601441312"/>
      <w:bookmarkEnd w:id="28"/>
      <w:r>
        <w:rPr/>
        <w:t>Création du compte administrateur nominatif</w:t>
      </w:r>
    </w:p>
    <w:p>
      <w:pPr>
        <w:pStyle w:val="TextBody"/>
        <w:rPr/>
      </w:pPr>
      <w:r>
        <w:rPr/>
        <w:t xml:space="preserve">Conformément aux exigences de sécurité et de traçabilité définies dans le document </w:t>
      </w:r>
      <w:r>
        <w:rPr>
          <w:rStyle w:val="StrongEmphasis"/>
        </w:rPr>
        <w:t>DOC-REF-01</w:t>
      </w:r>
      <w:r>
        <w:rPr/>
        <w:t xml:space="preserve"> section </w:t>
      </w:r>
      <w:r>
        <w:rPr>
          <w:rStyle w:val="StrongEmphasis"/>
        </w:rPr>
        <w:t>[REF-ADMIN]</w:t>
      </w:r>
      <w:r>
        <w:rPr/>
        <w:t xml:space="preserve">, chaque personne qui administre les serveurs doit posséder un compte utilisateur personnel et unique. </w:t>
      </w:r>
    </w:p>
    <w:p>
      <w:pPr>
        <w:pStyle w:val="TextBody"/>
        <w:rPr/>
      </w:pPr>
      <w:r>
        <w:rPr>
          <w:rStyle w:val="StrongEmphasis"/>
        </w:rPr>
        <w:t>La convention de nommage pour les comptes administrateurs est simple :</w:t>
      </w:r>
      <w:r>
        <w:rPr/>
        <w:t xml:space="preserve"> le compte doit porter le prénom de l'administrateur en minuscules et sans accents.</w:t>
      </w:r>
    </w:p>
    <w:p>
      <w:pPr>
        <w:pStyle w:val="TextBody"/>
        <w:rPr/>
      </w:pPr>
      <w:r>
        <w:rPr/>
        <w:t xml:space="preserve">Vous devez créer votre compte administrateur personnel en suivant la procédure détaillée dans le document </w:t>
      </w:r>
      <w:r>
        <w:rPr>
          <w:rStyle w:val="StrongEmphasis"/>
        </w:rPr>
        <w:t>DOC-REF-01</w:t>
      </w:r>
      <w:r>
        <w:rPr/>
        <w:t xml:space="preserve"> section </w:t>
      </w:r>
      <w:r>
        <w:rPr>
          <w:rStyle w:val="StrongEmphasis"/>
        </w:rPr>
        <w:t xml:space="preserve">[REF-ADMIN] </w:t>
      </w:r>
      <w:r>
        <w:rPr/>
        <w:t>paragraphe 4.3. Cette procédure vous guidera pour créer le compte avec le nom approprié, définir un mot de passe complexe respectant les critères de sécurité, et accorder les privilèges administrateur via le groupe sudo.</w:t>
      </w:r>
    </w:p>
    <w:p>
      <w:pPr>
        <w:pStyle w:val="TextBody"/>
        <w:rPr/>
      </w:pPr>
      <w:r>
        <w:rPr>
          <w:rStyle w:val="StrongEmphasis"/>
        </w:rPr>
        <w:t>Vous devez ensuite stocker le mot de passe de ce compte dans Passbolt :</w:t>
      </w:r>
    </w:p>
    <w:p>
      <w:pPr>
        <w:pStyle w:val="TextBody"/>
        <w:numPr>
          <w:ilvl w:val="0"/>
          <w:numId w:val="10"/>
        </w:numPr>
        <w:tabs>
          <w:tab w:val="clear" w:pos="708"/>
          <w:tab w:val="left" w:pos="0" w:leader="none"/>
        </w:tabs>
        <w:ind w:left="709" w:right="0" w:hanging="283"/>
        <w:rPr/>
      </w:pPr>
      <w:r>
        <w:rPr/>
        <w:t xml:space="preserve">Connectez-vous à l'interface </w:t>
      </w:r>
      <w:r>
        <w:rPr>
          <w:rStyle w:val="StrongEmphasis"/>
        </w:rPr>
        <w:t xml:space="preserve">NetByUs Password Manager (Passbolt) </w:t>
      </w:r>
      <w:r>
        <w:rPr/>
        <w:t>avec vos identifiants personnels.</w:t>
      </w:r>
    </w:p>
    <w:p>
      <w:pPr>
        <w:pStyle w:val="TextBody"/>
        <w:numPr>
          <w:ilvl w:val="0"/>
          <w:numId w:val="10"/>
        </w:numPr>
        <w:tabs>
          <w:tab w:val="clear" w:pos="708"/>
          <w:tab w:val="left" w:pos="0" w:leader="none"/>
        </w:tabs>
        <w:ind w:left="709" w:right="0" w:hanging="283"/>
        <w:rPr/>
      </w:pPr>
      <w:r>
        <w:rPr/>
        <w:t xml:space="preserve">Créez une nouvelle entrée </w:t>
      </w:r>
      <w:r>
        <w:rPr>
          <w:rStyle w:val="StrongEmphasis"/>
        </w:rPr>
        <w:t xml:space="preserve">NetByUs Password Manager (Passbolt) </w:t>
      </w:r>
      <w:r>
        <w:rPr/>
        <w:t>avec un nom adapté avec le prénom et le nom du serveur (Exemple : Admin jean - srv-prod-web-01).</w:t>
      </w:r>
    </w:p>
    <w:p>
      <w:pPr>
        <w:pStyle w:val="TextBody"/>
        <w:numPr>
          <w:ilvl w:val="0"/>
          <w:numId w:val="10"/>
        </w:numPr>
        <w:tabs>
          <w:tab w:val="clear" w:pos="708"/>
          <w:tab w:val="left" w:pos="0" w:leader="none"/>
        </w:tabs>
        <w:ind w:left="709" w:right="0" w:hanging="283"/>
        <w:rPr/>
      </w:pPr>
      <w:r>
        <w:rPr/>
        <w:t>Collez le mot de passe que vous avez défini pour ce compte dans le champ mot de passe.</w:t>
      </w:r>
    </w:p>
    <w:p>
      <w:pPr>
        <w:pStyle w:val="TextBody"/>
        <w:numPr>
          <w:ilvl w:val="0"/>
          <w:numId w:val="10"/>
        </w:numPr>
        <w:tabs>
          <w:tab w:val="clear" w:pos="708"/>
          <w:tab w:val="left" w:pos="0" w:leader="none"/>
        </w:tabs>
        <w:ind w:left="709" w:right="0" w:hanging="283"/>
        <w:rPr/>
      </w:pPr>
      <w:r>
        <w:rPr/>
        <w:t xml:space="preserve">Sauvegardez l'entrée dans </w:t>
      </w:r>
      <w:r>
        <w:rPr>
          <w:rStyle w:val="StrongEmphasis"/>
        </w:rPr>
        <w:t xml:space="preserve">NetByUs Password Manager (Passbolt) </w:t>
      </w:r>
      <w:r>
        <w:rPr/>
        <w:t>pour sécuriser le stockage du mot de passe.</w:t>
      </w:r>
    </w:p>
    <w:p>
      <w:pPr>
        <w:pStyle w:val="TextBody"/>
        <w:rPr/>
      </w:pPr>
      <w:r>
        <w:rPr>
          <w:rStyle w:val="StrongEmphasis"/>
        </w:rPr>
        <w:t>Les points de validation pour cette étape sont :</w:t>
      </w:r>
    </w:p>
    <w:p>
      <w:pPr>
        <w:pStyle w:val="TextBody"/>
        <w:numPr>
          <w:ilvl w:val="0"/>
          <w:numId w:val="11"/>
        </w:numPr>
        <w:tabs>
          <w:tab w:val="clear" w:pos="708"/>
          <w:tab w:val="left" w:pos="0" w:leader="none"/>
        </w:tabs>
        <w:ind w:left="709" w:right="0" w:hanging="283"/>
        <w:rPr/>
      </w:pPr>
      <w:r>
        <w:rPr/>
        <w:t xml:space="preserve">Le compte administrateur nominatif a été créé avec succès en suivant </w:t>
      </w:r>
      <w:r>
        <w:rPr>
          <w:rStyle w:val="StrongEmphasis"/>
        </w:rPr>
        <w:t>DOC-REF-01 [REF-ADMIN]</w:t>
      </w:r>
      <w:r>
        <w:rPr/>
        <w:t>.</w:t>
      </w:r>
    </w:p>
    <w:p>
      <w:pPr>
        <w:pStyle w:val="TextBody"/>
        <w:numPr>
          <w:ilvl w:val="0"/>
          <w:numId w:val="11"/>
        </w:numPr>
        <w:tabs>
          <w:tab w:val="clear" w:pos="708"/>
          <w:tab w:val="left" w:pos="0" w:leader="none"/>
        </w:tabs>
        <w:ind w:left="709" w:right="0" w:hanging="283"/>
        <w:rPr/>
      </w:pPr>
      <w:r>
        <w:rPr/>
        <w:t>Le compte est membre du groupe sudo et dispose donc des privilèges administrateur.</w:t>
      </w:r>
    </w:p>
    <w:p>
      <w:pPr>
        <w:pStyle w:val="TextBody"/>
        <w:numPr>
          <w:ilvl w:val="0"/>
          <w:numId w:val="11"/>
        </w:numPr>
        <w:tabs>
          <w:tab w:val="clear" w:pos="708"/>
          <w:tab w:val="left" w:pos="0" w:leader="none"/>
        </w:tabs>
        <w:ind w:left="709" w:right="0" w:hanging="283"/>
        <w:rPr/>
      </w:pPr>
      <w:r>
        <w:rPr/>
        <w:t xml:space="preserve">Le mot de passe du compte a été stocké de manière sécurisée dans </w:t>
      </w:r>
      <w:r>
        <w:rPr>
          <w:rStyle w:val="StrongEmphasis"/>
        </w:rPr>
        <w:t>NetByUs Password Manager (Passbolt)</w:t>
      </w:r>
      <w:r>
        <w:rPr/>
        <w:t>.</w:t>
      </w:r>
    </w:p>
    <w:p>
      <w:pPr>
        <w:pStyle w:val="Heading2"/>
        <w:rPr/>
      </w:pPr>
      <w:bookmarkStart w:id="29" w:name="__RefHeading___Toc9145_2601441312"/>
      <w:bookmarkEnd w:id="29"/>
      <w:r>
        <w:rPr/>
        <w:t>Configuration de la politique de mots de passe</w:t>
      </w:r>
    </w:p>
    <w:p>
      <w:pPr>
        <w:pStyle w:val="TextBody"/>
        <w:rPr/>
      </w:pPr>
      <w:r>
        <w:rPr/>
        <w:t xml:space="preserve">Pour garantir que tous les mots de passe sur le serveur respectent les critères de complexité requis, vous devez configurer le système PAM (Pluggable Authentication Modules) en suivant la procédure détaillée dans le document </w:t>
      </w:r>
      <w:r>
        <w:rPr>
          <w:rStyle w:val="StrongEmphasis"/>
        </w:rPr>
        <w:t>DOC-REF-01</w:t>
      </w:r>
      <w:r>
        <w:rPr/>
        <w:t xml:space="preserve"> section </w:t>
      </w:r>
      <w:r>
        <w:rPr>
          <w:rStyle w:val="StrongEmphasis"/>
        </w:rPr>
        <w:t>[REF-MDP]</w:t>
      </w:r>
      <w:r>
        <w:rPr/>
        <w:t xml:space="preserve"> paragraphe 4.6.</w:t>
      </w:r>
    </w:p>
    <w:p>
      <w:pPr>
        <w:pStyle w:val="TextBody"/>
        <w:rPr/>
      </w:pPr>
      <w:r>
        <w:rPr/>
        <w:t>Cette configuration appliquera automatiquement les exigences suivantes : longueur minimale de 14 caractères, présence obligatoire d'au moins une majuscule, une minuscule, un chiffre et un caractère spécial. Elle configurera également l'expiration automatique des mots de passe après 90 jours pour respecter les bonnes pratiques de sécurité.</w:t>
      </w:r>
    </w:p>
    <w:p>
      <w:pPr>
        <w:pStyle w:val="TextBody"/>
        <w:rPr/>
      </w:pPr>
      <w:r>
        <w:rPr>
          <w:rStyle w:val="StrongEmphasis"/>
        </w:rPr>
        <w:t>Les points de validation pour cette étape sont :</w:t>
      </w:r>
    </w:p>
    <w:p>
      <w:pPr>
        <w:pStyle w:val="TextBody"/>
        <w:numPr>
          <w:ilvl w:val="0"/>
          <w:numId w:val="12"/>
        </w:numPr>
        <w:tabs>
          <w:tab w:val="clear" w:pos="708"/>
          <w:tab w:val="left" w:pos="0" w:leader="none"/>
        </w:tabs>
        <w:ind w:left="709" w:right="0" w:hanging="283"/>
        <w:rPr/>
      </w:pPr>
      <w:r>
        <w:rPr/>
        <w:t>Le système PAM est configuré pour appliquer les exigences de complexité des mots de passe selon DOC-REF-01 [REF-MDP].</w:t>
      </w:r>
    </w:p>
    <w:p>
      <w:pPr>
        <w:pStyle w:val="TextBody"/>
        <w:numPr>
          <w:ilvl w:val="0"/>
          <w:numId w:val="12"/>
        </w:numPr>
        <w:tabs>
          <w:tab w:val="clear" w:pos="708"/>
          <w:tab w:val="left" w:pos="0" w:leader="none"/>
        </w:tabs>
        <w:ind w:left="709" w:right="0" w:hanging="283"/>
        <w:rPr/>
      </w:pPr>
      <w:r>
        <w:rPr/>
        <w:t>L'expiration automatique des mots de passe après 90 jours est configurée pour le compte administrateur.</w:t>
      </w:r>
    </w:p>
    <w:p>
      <w:pPr>
        <w:pStyle w:val="Heading1"/>
        <w:rPr/>
      </w:pPr>
      <w:bookmarkStart w:id="30" w:name="__RefHeading___Toc9147_2601441312"/>
      <w:bookmarkEnd w:id="30"/>
      <w:r>
        <w:rPr/>
        <w:t>CONFIGURATION SSH SÉCURISÉE</w:t>
      </w:r>
    </w:p>
    <w:p>
      <w:pPr>
        <w:pStyle w:val="Heading2"/>
        <w:rPr/>
      </w:pPr>
      <w:bookmarkStart w:id="31" w:name="__RefHeading___Toc9149_2601441312"/>
      <w:bookmarkEnd w:id="31"/>
      <w:r>
        <w:rPr/>
        <w:t>Génération et déploiement des clés SSH</w:t>
      </w:r>
    </w:p>
    <w:p>
      <w:pPr>
        <w:pStyle w:val="TextBody"/>
        <w:rPr/>
      </w:pPr>
      <w:r>
        <w:rPr/>
        <w:t xml:space="preserve">L'authentification par clés SSH est beaucoup plus sécurisée que l'authentification par mot de passe car elle élimine complètement le risque d'attaque par force brute sur les mots de passe. Vous devez générer une paire de clés SSH sur votre poste de travail et déployer la clé publique sur le serveur en suivant la procédure détaillée dans le document </w:t>
      </w:r>
      <w:r>
        <w:rPr>
          <w:rStyle w:val="StrongEmphasis"/>
        </w:rPr>
        <w:t>DOC-REF-01</w:t>
      </w:r>
      <w:r>
        <w:rPr/>
        <w:t xml:space="preserve"> section </w:t>
      </w:r>
      <w:r>
        <w:rPr>
          <w:rStyle w:val="StrongEmphasis"/>
        </w:rPr>
        <w:t>[REF-SSH-KEYS]</w:t>
      </w:r>
      <w:r>
        <w:rPr/>
        <w:t xml:space="preserve"> paragraphe 5.2.</w:t>
      </w:r>
    </w:p>
    <w:p>
      <w:pPr>
        <w:pStyle w:val="TextBody"/>
        <w:rPr/>
      </w:pPr>
      <w:r>
        <w:rPr/>
        <w:t xml:space="preserve">La procédure vous guidera pour créer une paire de clés de type ED25519 (recommandé pour sa sécurité supérieure) qui comprend une clé privée à conserver secrètement sur votre poste de travail et une clé publique à déployer sur le serveur. Vous utiliserez la commande </w:t>
      </w:r>
      <w:r>
        <w:rPr>
          <w:rStyle w:val="SourceText"/>
        </w:rPr>
        <w:t>ssh-copy-id</w:t>
      </w:r>
      <w:r>
        <w:rPr/>
        <w:t xml:space="preserve"> pour déployer automatiquement la clé publique sur le serveur.</w:t>
      </w:r>
    </w:p>
    <w:p>
      <w:pPr>
        <w:pStyle w:val="TextBody"/>
        <w:rPr/>
      </w:pPr>
      <w:r>
        <w:rPr>
          <w:rStyle w:val="StrongEmphasis"/>
        </w:rPr>
        <w:t>IMPORTANT : Une fois que vous avez vérifié que la connexion par clé fonctionne, gardez cette session SSH ouverte.</w:t>
      </w:r>
      <w:r>
        <w:rPr/>
        <w:t xml:space="preserve"> Vous en aurez besoin pour la suite de la configuration, et cela vous servira de session de secours au cas où vous commettriez une erreur dans la configuration SSH.</w:t>
      </w:r>
    </w:p>
    <w:p>
      <w:pPr>
        <w:pStyle w:val="TextBody"/>
        <w:rPr/>
      </w:pPr>
      <w:r>
        <w:rPr>
          <w:rStyle w:val="StrongEmphasis"/>
        </w:rPr>
        <w:t>Vous devez également sauvegarder votre clé privée dans NetByUs Password Manager (Passbolt) :</w:t>
      </w:r>
    </w:p>
    <w:p>
      <w:pPr>
        <w:pStyle w:val="TextBody"/>
        <w:numPr>
          <w:ilvl w:val="0"/>
          <w:numId w:val="13"/>
        </w:numPr>
        <w:tabs>
          <w:tab w:val="clear" w:pos="708"/>
          <w:tab w:val="left" w:pos="0" w:leader="none"/>
        </w:tabs>
        <w:ind w:left="709" w:right="0" w:hanging="283"/>
        <w:rPr/>
      </w:pPr>
      <w:r>
        <w:rPr/>
        <w:t xml:space="preserve">Connectez-vous à l'interface </w:t>
      </w:r>
      <w:r>
        <w:rPr>
          <w:rStyle w:val="StrongEmphasis"/>
        </w:rPr>
        <w:t>NetByUs Password Manager (Passbolt)</w:t>
      </w:r>
      <w:r>
        <w:rPr/>
        <w:t>.</w:t>
      </w:r>
    </w:p>
    <w:p>
      <w:pPr>
        <w:pStyle w:val="TextBody"/>
        <w:numPr>
          <w:ilvl w:val="0"/>
          <w:numId w:val="13"/>
        </w:numPr>
        <w:tabs>
          <w:tab w:val="clear" w:pos="708"/>
          <w:tab w:val="left" w:pos="0" w:leader="none"/>
        </w:tabs>
        <w:ind w:left="709" w:right="0" w:hanging="283"/>
        <w:rPr/>
      </w:pPr>
      <w:r>
        <w:rPr/>
        <w:t>Créez une nouvelle entrée avec un nom comme "Clé SSH privée - jean".</w:t>
      </w:r>
    </w:p>
    <w:p>
      <w:pPr>
        <w:pStyle w:val="TextBody"/>
        <w:numPr>
          <w:ilvl w:val="0"/>
          <w:numId w:val="13"/>
        </w:numPr>
        <w:tabs>
          <w:tab w:val="clear" w:pos="708"/>
          <w:tab w:val="left" w:pos="0" w:leader="none"/>
        </w:tabs>
        <w:ind w:left="709" w:right="0" w:hanging="283"/>
        <w:rPr/>
      </w:pPr>
      <w:r>
        <w:rPr/>
        <w:t>Ouvrez le fichier de clé privée sur votre poste de travail et copiez tout son contenu.</w:t>
      </w:r>
    </w:p>
    <w:p>
      <w:pPr>
        <w:pStyle w:val="TextBody"/>
        <w:numPr>
          <w:ilvl w:val="0"/>
          <w:numId w:val="13"/>
        </w:numPr>
        <w:tabs>
          <w:tab w:val="clear" w:pos="708"/>
          <w:tab w:val="left" w:pos="0" w:leader="none"/>
        </w:tabs>
        <w:ind w:left="709" w:right="0" w:hanging="283"/>
        <w:rPr/>
      </w:pPr>
      <w:r>
        <w:rPr/>
        <w:t xml:space="preserve">Collez le contenu complet de la clé privée dans l'entrée </w:t>
      </w:r>
      <w:r>
        <w:rPr>
          <w:rStyle w:val="StrongEmphasis"/>
        </w:rPr>
        <w:t>NetByUs Password Manager (Passbolt)</w:t>
      </w:r>
      <w:r>
        <w:rPr/>
        <w:t>.</w:t>
      </w:r>
    </w:p>
    <w:p>
      <w:pPr>
        <w:pStyle w:val="TextBody"/>
        <w:numPr>
          <w:ilvl w:val="0"/>
          <w:numId w:val="13"/>
        </w:numPr>
        <w:tabs>
          <w:tab w:val="clear" w:pos="708"/>
          <w:tab w:val="left" w:pos="0" w:leader="none"/>
        </w:tabs>
        <w:ind w:left="709" w:right="0" w:hanging="283"/>
        <w:rPr/>
      </w:pPr>
      <w:r>
        <w:rPr/>
        <w:t>Sauvegardez l'entrée pour sécuriser la sauvegarde de votre clé privée.</w:t>
      </w:r>
    </w:p>
    <w:p>
      <w:pPr>
        <w:pStyle w:val="TextBody"/>
        <w:rPr/>
      </w:pPr>
      <w:r>
        <w:rPr>
          <w:rStyle w:val="StrongEmphasis"/>
        </w:rPr>
        <w:t>Les points de validation pour cette étape sont :</w:t>
      </w:r>
    </w:p>
    <w:p>
      <w:pPr>
        <w:pStyle w:val="TextBody"/>
        <w:numPr>
          <w:ilvl w:val="0"/>
          <w:numId w:val="14"/>
        </w:numPr>
        <w:tabs>
          <w:tab w:val="clear" w:pos="708"/>
          <w:tab w:val="left" w:pos="0" w:leader="none"/>
        </w:tabs>
        <w:ind w:left="709" w:right="0" w:hanging="283"/>
        <w:rPr/>
      </w:pPr>
      <w:r>
        <w:rPr/>
        <w:t xml:space="preserve">La paire de clés SSH a été générée avec succès selon </w:t>
      </w:r>
      <w:r>
        <w:rPr>
          <w:rStyle w:val="StrongEmphasis"/>
        </w:rPr>
        <w:t>DOC-REF-01 [REF-SSH-KEYS]</w:t>
      </w:r>
      <w:r>
        <w:rPr/>
        <w:t>.</w:t>
      </w:r>
    </w:p>
    <w:p>
      <w:pPr>
        <w:pStyle w:val="TextBody"/>
        <w:numPr>
          <w:ilvl w:val="0"/>
          <w:numId w:val="14"/>
        </w:numPr>
        <w:tabs>
          <w:tab w:val="clear" w:pos="708"/>
          <w:tab w:val="left" w:pos="0" w:leader="none"/>
        </w:tabs>
        <w:ind w:left="709" w:right="0" w:hanging="283"/>
        <w:rPr/>
      </w:pPr>
      <w:r>
        <w:rPr/>
        <w:t>La clé publique a été déployée sur le serveur dans le fichier authorized_keys du compte administrateur.</w:t>
      </w:r>
    </w:p>
    <w:p>
      <w:pPr>
        <w:pStyle w:val="TextBody"/>
        <w:numPr>
          <w:ilvl w:val="0"/>
          <w:numId w:val="14"/>
        </w:numPr>
        <w:tabs>
          <w:tab w:val="clear" w:pos="708"/>
          <w:tab w:val="left" w:pos="0" w:leader="none"/>
        </w:tabs>
        <w:ind w:left="709" w:right="0" w:hanging="283"/>
        <w:rPr/>
      </w:pPr>
      <w:r>
        <w:rPr/>
        <w:t>La connexion par clé SSH fonctionne correctement sans demander de mot de passe.</w:t>
      </w:r>
    </w:p>
    <w:p>
      <w:pPr>
        <w:pStyle w:val="TextBody"/>
        <w:numPr>
          <w:ilvl w:val="0"/>
          <w:numId w:val="14"/>
        </w:numPr>
        <w:tabs>
          <w:tab w:val="clear" w:pos="708"/>
          <w:tab w:val="left" w:pos="0" w:leader="none"/>
        </w:tabs>
        <w:ind w:left="709" w:right="0" w:hanging="283"/>
        <w:rPr/>
      </w:pPr>
      <w:r>
        <w:rPr/>
        <w:t xml:space="preserve">Une sauvegarde de la clé privée a été stockée dans </w:t>
      </w:r>
      <w:r>
        <w:rPr>
          <w:rStyle w:val="StrongEmphasis"/>
        </w:rPr>
        <w:t xml:space="preserve">NetByUs Password Manager (Passbolt) </w:t>
      </w:r>
      <w:r>
        <w:rPr/>
        <w:t>pour éviter toute perte.</w:t>
      </w:r>
    </w:p>
    <w:p>
      <w:pPr>
        <w:pStyle w:val="Heading2"/>
        <w:rPr/>
      </w:pPr>
      <w:bookmarkStart w:id="32" w:name="__RefHeading___Toc9151_2601441312"/>
      <w:bookmarkEnd w:id="32"/>
      <w:r>
        <w:rPr/>
        <w:t>Configuration du serveur SSH pour une sécurité maximale</w:t>
      </w:r>
    </w:p>
    <w:p>
      <w:pPr>
        <w:pStyle w:val="TextBody"/>
        <w:rPr/>
      </w:pPr>
      <w:r>
        <w:rPr>
          <w:rStyle w:val="StrongEmphasis"/>
          <w:rFonts w:eastAsia="Calibri"/>
          <w:color w:val="014276"/>
          <w:kern w:val="0"/>
          <w:sz w:val="24"/>
          <w:szCs w:val="32"/>
          <w:lang w:val="fr-FR" w:eastAsia="en-US" w:bidi="ar-SA"/>
        </w:rPr>
        <w:t>ATTENTION IMPORTANTE :</w:t>
      </w:r>
      <w:r>
        <w:rPr>
          <w:rStyle w:val="StrongEmphasis"/>
        </w:rPr>
        <w:t xml:space="preserve"> Vous devez effectuer cette configuration depuis une session SSH établie avec le compte administrateur (pas root) et en utilisant l'authentification par clé qui fonctionne déjà.</w:t>
      </w:r>
      <w:r>
        <w:rPr/>
        <w:t xml:space="preserve"> Si vous vous déconnectez avant d'avoir vérifié que la nouvelle configuration fonctionne, vous risquez de vous bloquer l'accès au serveur.</w:t>
      </w:r>
    </w:p>
    <w:p>
      <w:pPr>
        <w:pStyle w:val="TextBody"/>
        <w:rPr/>
      </w:pPr>
      <w:r>
        <w:rPr/>
        <w:t xml:space="preserve">Vous devez appliquer la configuration SSH sécurisée standard en suivant la procédure complète détaillée dans le document </w:t>
      </w:r>
      <w:r>
        <w:rPr>
          <w:rStyle w:val="StrongEmphasis"/>
        </w:rPr>
        <w:t>DOC-REF-01</w:t>
      </w:r>
      <w:r>
        <w:rPr/>
        <w:t xml:space="preserve"> section </w:t>
      </w:r>
      <w:r>
        <w:rPr>
          <w:rStyle w:val="StrongEmphasis"/>
        </w:rPr>
        <w:t>[REF-SSH-CONFIG]</w:t>
      </w:r>
      <w:r>
        <w:rPr/>
        <w:t xml:space="preserve"> paragraphe 5.3. Cette procédure vous guidera pour créer une sauvegarde du fichier de configuration actuel, éditer le fichier </w:t>
      </w:r>
      <w:r>
        <w:rPr>
          <w:rStyle w:val="SourceText"/>
        </w:rPr>
        <w:t>/etc/ssh/sshd_config</w:t>
      </w:r>
      <w:r>
        <w:rPr/>
        <w:t xml:space="preserve"> avec tous les paramètres de sécurité recommandés, vérifier la syntaxe de la configuration, et redémarrer le service SSH. </w:t>
      </w:r>
    </w:p>
    <w:p>
      <w:pPr>
        <w:pStyle w:val="TextBody"/>
        <w:rPr/>
      </w:pPr>
      <w:r>
        <w:rPr>
          <w:rStyle w:val="StrongEmphasis"/>
        </w:rPr>
        <w:t>Les points critiques que vous devez absolument vérifier dans le fichier de configuration sont les suivants :</w:t>
      </w:r>
    </w:p>
    <w:p>
      <w:pPr>
        <w:pStyle w:val="TextBody"/>
        <w:numPr>
          <w:ilvl w:val="0"/>
          <w:numId w:val="15"/>
        </w:numPr>
        <w:tabs>
          <w:tab w:val="clear" w:pos="708"/>
          <w:tab w:val="left" w:pos="0" w:leader="none"/>
        </w:tabs>
        <w:ind w:left="709" w:right="0" w:hanging="283"/>
        <w:rPr/>
      </w:pPr>
      <w:r>
        <w:rPr/>
        <w:t xml:space="preserve">Le paramètre </w:t>
      </w:r>
      <w:r>
        <w:rPr>
          <w:rStyle w:val="SourceText"/>
        </w:rPr>
        <w:t>PermitRootLogin no</w:t>
      </w:r>
      <w:r>
        <w:rPr/>
        <w:t xml:space="preserve"> est CRITIQUE car il désactive complètement la possibilité de se connecter en tant que root via SSH.</w:t>
      </w:r>
    </w:p>
    <w:p>
      <w:pPr>
        <w:pStyle w:val="TextBody"/>
        <w:numPr>
          <w:ilvl w:val="0"/>
          <w:numId w:val="15"/>
        </w:numPr>
        <w:tabs>
          <w:tab w:val="clear" w:pos="708"/>
          <w:tab w:val="left" w:pos="0" w:leader="none"/>
        </w:tabs>
        <w:ind w:left="709" w:right="0" w:hanging="283"/>
        <w:rPr/>
      </w:pPr>
      <w:r>
        <w:rPr/>
        <w:t xml:space="preserve">Le paramètre </w:t>
      </w:r>
      <w:r>
        <w:rPr>
          <w:rStyle w:val="SourceText"/>
        </w:rPr>
        <w:t>PasswordAuthentication no</w:t>
      </w:r>
      <w:r>
        <w:rPr/>
        <w:t xml:space="preserve"> est CRITIQUE car il désactive l'authentification par mot de passe, forçant l'utilisation des clés SSH.</w:t>
      </w:r>
    </w:p>
    <w:p>
      <w:pPr>
        <w:pStyle w:val="TextBody"/>
        <w:numPr>
          <w:ilvl w:val="0"/>
          <w:numId w:val="15"/>
        </w:numPr>
        <w:tabs>
          <w:tab w:val="clear" w:pos="708"/>
          <w:tab w:val="left" w:pos="0" w:leader="none"/>
        </w:tabs>
        <w:ind w:left="709" w:right="0" w:hanging="283"/>
        <w:rPr/>
      </w:pPr>
      <w:r>
        <w:rPr/>
        <w:t xml:space="preserve">Le paramètre </w:t>
      </w:r>
      <w:r>
        <w:rPr>
          <w:rStyle w:val="SourceText"/>
        </w:rPr>
        <w:t>PubkeyAuthentication yes</w:t>
      </w:r>
      <w:r>
        <w:rPr/>
        <w:t xml:space="preserve"> active l'authentification par clés publiques.</w:t>
      </w:r>
    </w:p>
    <w:p>
      <w:pPr>
        <w:pStyle w:val="TextBody"/>
        <w:numPr>
          <w:ilvl w:val="0"/>
          <w:numId w:val="15"/>
        </w:numPr>
        <w:tabs>
          <w:tab w:val="clear" w:pos="708"/>
          <w:tab w:val="left" w:pos="0" w:leader="none"/>
        </w:tabs>
        <w:ind w:left="709" w:right="0" w:hanging="283"/>
        <w:rPr/>
      </w:pPr>
      <w:r>
        <w:rPr/>
        <w:t xml:space="preserve">Le paramètre </w:t>
      </w:r>
      <w:r>
        <w:rPr>
          <w:rStyle w:val="SourceText"/>
        </w:rPr>
        <w:t>AllowUsers</w:t>
      </w:r>
      <w:r>
        <w:rPr/>
        <w:t xml:space="preserve"> limite les connexions SSH uniquement aux utilisateurs listés (adaptez avec votre nom d'utilisateur).</w:t>
      </w:r>
    </w:p>
    <w:p>
      <w:pPr>
        <w:pStyle w:val="TextBody"/>
        <w:numPr>
          <w:ilvl w:val="0"/>
          <w:numId w:val="15"/>
        </w:numPr>
        <w:tabs>
          <w:tab w:val="clear" w:pos="708"/>
          <w:tab w:val="left" w:pos="0" w:leader="none"/>
        </w:tabs>
        <w:ind w:left="709" w:right="0" w:hanging="283"/>
        <w:rPr/>
      </w:pPr>
      <w:r>
        <w:rPr/>
        <w:t xml:space="preserve">Le paramètre </w:t>
      </w:r>
      <w:r>
        <w:rPr>
          <w:rStyle w:val="SourceText"/>
        </w:rPr>
        <w:t>Port</w:t>
      </w:r>
      <w:r>
        <w:rPr/>
        <w:t xml:space="preserve"> définit le port SSH (2222 est recommandé, mais vous pouvez garder 22 si vous préférez).</w:t>
      </w:r>
    </w:p>
    <w:p>
      <w:pPr>
        <w:pStyle w:val="TextBody"/>
        <w:numPr>
          <w:ilvl w:val="0"/>
          <w:numId w:val="0"/>
        </w:numPr>
        <w:tabs>
          <w:tab w:val="clear" w:pos="708"/>
          <w:tab w:val="left" w:pos="0" w:leader="none"/>
        </w:tabs>
        <w:ind w:left="0" w:right="0" w:hanging="0"/>
        <w:rPr/>
      </w:pPr>
      <w:r>
        <w:rPr>
          <w:rStyle w:val="StrongEmphasis"/>
          <w:rFonts w:eastAsia="Calibri"/>
          <w:color w:val="014276"/>
          <w:kern w:val="0"/>
          <w:sz w:val="24"/>
          <w:szCs w:val="32"/>
          <w:lang w:val="fr-FR" w:eastAsia="en-US" w:bidi="ar-SA"/>
        </w:rPr>
        <w:t>ATTENTION CRITIQUE :</w:t>
      </w:r>
      <w:r>
        <w:rPr>
          <w:rStyle w:val="StrongEmphasis"/>
          <w:b/>
        </w:rPr>
        <w:t xml:space="preserve"> </w:t>
      </w:r>
      <w:r>
        <w:rPr>
          <w:rStyle w:val="StrongEmphasis"/>
          <w:rFonts w:eastAsia="Calibri"/>
          <w:b/>
          <w:color w:val="auto"/>
          <w:kern w:val="0"/>
          <w:sz w:val="24"/>
          <w:szCs w:val="32"/>
          <w:lang w:val="fr-FR" w:eastAsia="en-US" w:bidi="ar-SA"/>
        </w:rPr>
        <w:t>Ne fermez PAS votre session SSH actuelle !</w:t>
      </w:r>
      <w:r>
        <w:rPr>
          <w:rFonts w:eastAsia="Calibri"/>
          <w:color w:val="auto"/>
          <w:kern w:val="0"/>
          <w:sz w:val="24"/>
          <w:szCs w:val="32"/>
          <w:lang w:val="fr-FR" w:eastAsia="en-US" w:bidi="ar-SA"/>
        </w:rPr>
        <w:t xml:space="preserve"> </w:t>
      </w:r>
      <w:r>
        <w:rPr>
          <w:rFonts w:eastAsia="Calibri"/>
          <w:b w:val="false"/>
          <w:bCs w:val="false"/>
          <w:color w:val="auto"/>
          <w:kern w:val="0"/>
          <w:sz w:val="24"/>
          <w:szCs w:val="32"/>
          <w:lang w:val="fr-FR" w:eastAsia="en-US" w:bidi="ar-SA"/>
        </w:rPr>
        <w:t xml:space="preserve">Vous devez tester la nouvelle configuration dans une NOUVELLE fenêtre de terminal avant de fermer votre session actuelle, comme expliqué dans </w:t>
      </w:r>
      <w:r>
        <w:rPr>
          <w:rStyle w:val="StrongEmphasis"/>
          <w:rFonts w:eastAsia="Calibri"/>
          <w:b w:val="false"/>
          <w:bCs w:val="false"/>
          <w:color w:val="auto"/>
          <w:kern w:val="0"/>
          <w:sz w:val="24"/>
          <w:szCs w:val="32"/>
          <w:lang w:val="fr-FR" w:eastAsia="en-US" w:bidi="ar-SA"/>
        </w:rPr>
        <w:t>DOC-REF-01 [REF-SSH-CONFIG].</w:t>
      </w:r>
    </w:p>
    <w:p>
      <w:pPr>
        <w:pStyle w:val="TextBody"/>
        <w:rPr/>
      </w:pPr>
      <w:r>
        <w:rPr>
          <w:rStyle w:val="StrongEmphasis"/>
          <w:b/>
          <w:bCs/>
        </w:rPr>
        <w:t>Les points de validation pour cette étape sont :</w:t>
      </w:r>
    </w:p>
    <w:p>
      <w:pPr>
        <w:pStyle w:val="TextBody"/>
        <w:numPr>
          <w:ilvl w:val="0"/>
          <w:numId w:val="16"/>
        </w:numPr>
        <w:tabs>
          <w:tab w:val="clear" w:pos="708"/>
          <w:tab w:val="left" w:pos="0" w:leader="none"/>
        </w:tabs>
        <w:ind w:left="709" w:right="0" w:hanging="283"/>
        <w:rPr/>
      </w:pPr>
      <w:r>
        <w:rPr/>
        <w:t xml:space="preserve">La configuration SSH standard a été appliquée à partir du document </w:t>
      </w:r>
      <w:r>
        <w:rPr>
          <w:rStyle w:val="StrongEmphasis"/>
        </w:rPr>
        <w:t>DOC-REF-01 [REF-SSH-CONFIG]</w:t>
      </w:r>
      <w:r>
        <w:rPr/>
        <w:t>.</w:t>
      </w:r>
    </w:p>
    <w:p>
      <w:pPr>
        <w:pStyle w:val="TextBody"/>
        <w:numPr>
          <w:ilvl w:val="0"/>
          <w:numId w:val="16"/>
        </w:numPr>
        <w:tabs>
          <w:tab w:val="clear" w:pos="708"/>
          <w:tab w:val="left" w:pos="0" w:leader="none"/>
        </w:tabs>
        <w:ind w:left="709" w:right="0" w:hanging="283"/>
        <w:rPr/>
      </w:pPr>
      <w:r>
        <w:rPr/>
        <w:t>La connexion SSH fonctionne avec le nouveau port (2222 ou 22 selon votre choix).</w:t>
      </w:r>
    </w:p>
    <w:p>
      <w:pPr>
        <w:pStyle w:val="TextBody"/>
        <w:numPr>
          <w:ilvl w:val="0"/>
          <w:numId w:val="16"/>
        </w:numPr>
        <w:tabs>
          <w:tab w:val="clear" w:pos="708"/>
          <w:tab w:val="left" w:pos="0" w:leader="none"/>
        </w:tabs>
        <w:ind w:left="709" w:right="0" w:hanging="283"/>
        <w:rPr/>
      </w:pPr>
      <w:r>
        <w:rPr/>
        <w:t xml:space="preserve">La connexion directe en tant que root est bien désactivée (testez avec </w:t>
      </w:r>
      <w:r>
        <w:rPr>
          <w:rStyle w:val="SourceText"/>
        </w:rPr>
        <w:t>ssh root@IP_SERVEUR</w:t>
      </w:r>
      <w:r>
        <w:rPr/>
        <w:t xml:space="preserve"> qui doit échouer).</w:t>
      </w:r>
    </w:p>
    <w:p>
      <w:pPr>
        <w:pStyle w:val="TextBody"/>
        <w:numPr>
          <w:ilvl w:val="0"/>
          <w:numId w:val="16"/>
        </w:numPr>
        <w:tabs>
          <w:tab w:val="clear" w:pos="708"/>
          <w:tab w:val="left" w:pos="0" w:leader="none"/>
        </w:tabs>
        <w:ind w:left="709" w:right="0" w:hanging="283"/>
        <w:rPr/>
      </w:pPr>
      <w:r>
        <w:rPr/>
        <w:t>L'authentification par mot de passe est bien désactivée (seules les clés SSH fonctionnent).</w:t>
      </w:r>
    </w:p>
    <w:p>
      <w:pPr>
        <w:pStyle w:val="Heading1"/>
        <w:rPr/>
      </w:pPr>
      <w:bookmarkStart w:id="33" w:name="__RefHeading___Toc9155_2601441312"/>
      <w:bookmarkEnd w:id="33"/>
      <w:r>
        <w:rPr/>
        <w:t>CONFIGURATION DU PARE-FEU UFW</w:t>
      </w:r>
    </w:p>
    <w:p>
      <w:pPr>
        <w:pStyle w:val="Heading2"/>
        <w:rPr/>
      </w:pPr>
      <w:bookmarkStart w:id="34" w:name="__RefHeading___Toc9157_2601441312"/>
      <w:bookmarkEnd w:id="34"/>
      <w:r>
        <w:rPr/>
        <w:t>Installation et configuration initiale de UFW</w:t>
      </w:r>
    </w:p>
    <w:p>
      <w:pPr>
        <w:pStyle w:val="TextBody"/>
        <w:rPr/>
      </w:pPr>
      <w:r>
        <w:rPr/>
        <w:t xml:space="preserve">Le pare-feu UFW (Uncomplicated Firewall) doit être configuré pour bloquer tout le trafic entrant par défaut et autoriser uniquement les ports strictement nécessaires. Vous devez suivre la procédure détaillée dans le document </w:t>
      </w:r>
      <w:r>
        <w:rPr>
          <w:rStyle w:val="StrongEmphasis"/>
        </w:rPr>
        <w:t>DOC-REF-01</w:t>
      </w:r>
      <w:r>
        <w:rPr/>
        <w:t xml:space="preserve"> section </w:t>
      </w:r>
      <w:r>
        <w:rPr>
          <w:rStyle w:val="StrongEmphasis"/>
        </w:rPr>
        <w:t>[REF-UFW-CONFIG]</w:t>
      </w:r>
      <w:r>
        <w:rPr/>
        <w:t xml:space="preserve"> paragraphe 6.3.</w:t>
      </w:r>
    </w:p>
    <w:p>
      <w:pPr>
        <w:pStyle w:val="TextBody"/>
        <w:rPr/>
      </w:pPr>
      <w:r>
        <w:rPr>
          <w:rStyle w:val="StrongEmphasis"/>
          <w:color w:val="014276"/>
          <w:kern w:val="0"/>
          <w:sz w:val="24"/>
          <w:szCs w:val="24"/>
          <w:lang w:val="fr-FR" w:eastAsia="en-US" w:bidi="ar-SA"/>
        </w:rPr>
        <w:t>ATTENTION :</w:t>
      </w:r>
      <w:r>
        <w:rPr>
          <w:rStyle w:val="StrongEmphasis"/>
        </w:rPr>
        <w:t xml:space="preserve"> L'ordre des opérations est absolument CRITIQUE.</w:t>
      </w:r>
      <w:r>
        <w:rPr/>
        <w:t xml:space="preserve"> Vous devez impérativement autoriser le port SSH AVANT d'activer UFW, sinon vous vous bloquerez l'accès au serveur et ne pourrez plus vous reconnecter. La procédure dans </w:t>
      </w:r>
      <w:r>
        <w:rPr>
          <w:rStyle w:val="StrongEmphasis"/>
        </w:rPr>
        <w:t>DOC-REF-01</w:t>
      </w:r>
      <w:r>
        <w:rPr/>
        <w:t xml:space="preserve"> vous guide à travers la séquence exacte des commandes à exécuter pour installer UFW, définir les règles par défaut, autoriser le port SSH, et activer le pare-feu de manière sécurisée.</w:t>
      </w:r>
    </w:p>
    <w:p>
      <w:pPr>
        <w:pStyle w:val="TextBody"/>
        <w:rPr/>
      </w:pPr>
      <w:r>
        <w:rPr>
          <w:rStyle w:val="StrongEmphasis"/>
        </w:rPr>
        <w:t>Les points de validation pour cette étape sont :</w:t>
      </w:r>
    </w:p>
    <w:p>
      <w:pPr>
        <w:pStyle w:val="TextBody"/>
        <w:numPr>
          <w:ilvl w:val="0"/>
          <w:numId w:val="17"/>
        </w:numPr>
        <w:tabs>
          <w:tab w:val="clear" w:pos="708"/>
          <w:tab w:val="left" w:pos="0" w:leader="none"/>
        </w:tabs>
        <w:ind w:left="709" w:right="0" w:hanging="283"/>
        <w:rPr/>
      </w:pPr>
      <w:r>
        <w:rPr/>
        <w:t xml:space="preserve">UFW est activé et fonctionne selon </w:t>
      </w:r>
      <w:r>
        <w:rPr>
          <w:rStyle w:val="StrongEmphasis"/>
        </w:rPr>
        <w:t>DOC-REF-01 [REF-UFW-CONFIG]</w:t>
      </w:r>
      <w:r>
        <w:rPr/>
        <w:t>.</w:t>
      </w:r>
    </w:p>
    <w:p>
      <w:pPr>
        <w:pStyle w:val="TextBody"/>
        <w:numPr>
          <w:ilvl w:val="0"/>
          <w:numId w:val="17"/>
        </w:numPr>
        <w:tabs>
          <w:tab w:val="clear" w:pos="708"/>
          <w:tab w:val="left" w:pos="0" w:leader="none"/>
        </w:tabs>
        <w:ind w:left="709" w:right="0" w:hanging="283"/>
        <w:rPr/>
      </w:pPr>
      <w:r>
        <w:rPr/>
        <w:t>Les règles par défaut sont correctement configurées (bloquer le trafic entrant, autoriser le trafic sortant).</w:t>
      </w:r>
    </w:p>
    <w:p>
      <w:pPr>
        <w:pStyle w:val="TextBody"/>
        <w:numPr>
          <w:ilvl w:val="0"/>
          <w:numId w:val="17"/>
        </w:numPr>
        <w:tabs>
          <w:tab w:val="clear" w:pos="708"/>
          <w:tab w:val="left" w:pos="0" w:leader="none"/>
        </w:tabs>
        <w:ind w:left="709" w:right="0" w:hanging="283"/>
        <w:rPr/>
      </w:pPr>
      <w:r>
        <w:rPr/>
        <w:t>Le port SSH est autorisé et la connexion SSH continue de fonctionner.</w:t>
      </w:r>
    </w:p>
    <w:p>
      <w:pPr>
        <w:pStyle w:val="Heading2"/>
        <w:rPr/>
      </w:pPr>
      <w:bookmarkStart w:id="35" w:name="__RefHeading___Toc9159_2601441312"/>
      <w:bookmarkEnd w:id="35"/>
      <w:r>
        <w:rPr/>
        <w:t>Ajout de règles spécifiques selon le rôle du serveur</w:t>
      </w:r>
    </w:p>
    <w:p>
      <w:pPr>
        <w:pStyle w:val="TextBody"/>
        <w:rPr/>
      </w:pPr>
      <w:r>
        <w:rPr/>
        <w:t xml:space="preserve">Selon le rôle que jouera le serveur, vous devez ajouter des règles supplémentaires pour autoriser l'accès aux services qu'il hébergera. Pour la liste complète des règles par type de serveur (serveur web, base de données, mail, etc.), consultez le document </w:t>
      </w:r>
      <w:r>
        <w:rPr>
          <w:rStyle w:val="StrongEmphasis"/>
        </w:rPr>
        <w:t>DOC-REF-01</w:t>
      </w:r>
      <w:r>
        <w:rPr/>
        <w:t xml:space="preserve"> section </w:t>
      </w:r>
      <w:r>
        <w:rPr>
          <w:rStyle w:val="StrongEmphasis"/>
        </w:rPr>
        <w:t>[REF-UFW-ROLES]</w:t>
      </w:r>
      <w:r>
        <w:rPr/>
        <w:t xml:space="preserve"> paragraphe 6.4.</w:t>
      </w:r>
    </w:p>
    <w:p>
      <w:pPr>
        <w:pStyle w:val="TextBody"/>
        <w:rPr/>
      </w:pPr>
      <w:r>
        <w:rPr>
          <w:rStyle w:val="StrongEmphasis"/>
        </w:rPr>
        <w:t>Pour un serveur WEB</w:t>
      </w:r>
      <w:r>
        <w:rPr/>
        <w:t xml:space="preserve">, vous devez autoriser les ports HTTP (80) et HTTPS (443). </w:t>
      </w:r>
      <w:r>
        <w:rPr>
          <w:rStyle w:val="StrongEmphasis"/>
        </w:rPr>
        <w:t>Pour un serveur de BASE DE DONNÉES</w:t>
      </w:r>
      <w:r>
        <w:rPr/>
        <w:t xml:space="preserve">, vous ne devez JAMAIS exposer directement le serveur sur Internet, mais autoriser uniquement les connexions depuis les adresses IP spécifiques de vos serveurs applicatifs. </w:t>
      </w:r>
      <w:r>
        <w:rPr>
          <w:rStyle w:val="StrongEmphasis"/>
        </w:rPr>
        <w:t>Pour les autres types de serveurs</w:t>
      </w:r>
      <w:r>
        <w:rPr/>
        <w:t xml:space="preserve">, consultez </w:t>
      </w:r>
      <w:r>
        <w:rPr>
          <w:rStyle w:val="StrongEmphasis"/>
        </w:rPr>
        <w:t>DOC-REF-01 [REF-UFW-ROLES]</w:t>
      </w:r>
      <w:r>
        <w:rPr/>
        <w:t xml:space="preserve"> pour les règles appropriées.</w:t>
      </w:r>
    </w:p>
    <w:p>
      <w:pPr>
        <w:pStyle w:val="TextBody"/>
        <w:rPr/>
      </w:pPr>
      <w:r>
        <w:rPr>
          <w:rStyle w:val="StrongEmphasis"/>
        </w:rPr>
        <w:t>Le point de validation pour cette étape est :</w:t>
      </w:r>
    </w:p>
    <w:p>
      <w:pPr>
        <w:pStyle w:val="TextBody"/>
        <w:numPr>
          <w:ilvl w:val="0"/>
          <w:numId w:val="18"/>
        </w:numPr>
        <w:tabs>
          <w:tab w:val="clear" w:pos="708"/>
          <w:tab w:val="left" w:pos="0" w:leader="none"/>
        </w:tabs>
        <w:ind w:left="709" w:right="0" w:hanging="283"/>
        <w:rPr/>
      </w:pPr>
      <w:r>
        <w:rPr/>
        <w:t xml:space="preserve">Les règles spécifiques au rôle du serveur ont été ajoutées selon </w:t>
      </w:r>
      <w:r>
        <w:rPr>
          <w:rStyle w:val="StrongEmphasis"/>
        </w:rPr>
        <w:t>DOC-REF-01 [REF-UFW-ROLES]</w:t>
      </w:r>
      <w:r>
        <w:rPr/>
        <w:t>.</w:t>
      </w:r>
    </w:p>
    <w:p>
      <w:pPr>
        <w:pStyle w:val="Heading1"/>
        <w:rPr/>
      </w:pPr>
      <w:bookmarkStart w:id="36" w:name="__RefHeading___Toc9161_2601441312"/>
      <w:bookmarkEnd w:id="36"/>
      <w:r>
        <w:rPr/>
        <w:t>PROTECTION ANTI-BRUTEFORCE AVEC FAIL2BAN</w:t>
      </w:r>
    </w:p>
    <w:p>
      <w:pPr>
        <w:pStyle w:val="Heading2"/>
        <w:rPr/>
      </w:pPr>
      <w:bookmarkStart w:id="37" w:name="__RefHeading___Toc9163_2601441312"/>
      <w:bookmarkEnd w:id="37"/>
      <w:r>
        <w:rPr/>
        <w:t>Installation et configuration de Fail2Ban</w:t>
      </w:r>
    </w:p>
    <w:p>
      <w:pPr>
        <w:pStyle w:val="TextBody"/>
        <w:rPr/>
      </w:pPr>
      <w:r>
        <w:rPr/>
        <w:t xml:space="preserve">Fail2Ban est un outil essentiel qui protège le serveur contre les attaques par force brute en bannissant automatiquement les adresses IP qui effectuent trop de tentatives de connexion échouées. Vous devez installer et configurer Fail2Ban en suivant la procédure détaillée dans le document </w:t>
      </w:r>
      <w:r>
        <w:rPr>
          <w:rStyle w:val="StrongEmphasis"/>
        </w:rPr>
        <w:t>DOC-REF-01</w:t>
      </w:r>
      <w:r>
        <w:rPr/>
        <w:t xml:space="preserve"> section </w:t>
      </w:r>
      <w:r>
        <w:rPr>
          <w:rStyle w:val="StrongEmphasis"/>
        </w:rPr>
        <w:t>[REF-FAIL2BAN-CONFIG]</w:t>
      </w:r>
      <w:r>
        <w:rPr/>
        <w:t xml:space="preserve"> paragraphe 7.3.</w:t>
      </w:r>
    </w:p>
    <w:p>
      <w:pPr>
        <w:pStyle w:val="TextBody"/>
        <w:rPr/>
      </w:pPr>
      <w:r>
        <w:rPr/>
        <w:t xml:space="preserve">La procédure vous guidera pour installer le paquet Fail2Ban, activer le service pour qu'il démarre automatiquement, et créer un fichier de configuration personnalisé </w:t>
      </w:r>
      <w:r>
        <w:rPr>
          <w:rStyle w:val="SourceText"/>
        </w:rPr>
        <w:t>/etc/fail2ban/jail.local</w:t>
      </w:r>
      <w:r>
        <w:rPr/>
        <w:t xml:space="preserve"> avec tous les paramètres de protection appropriés.</w:t>
      </w:r>
    </w:p>
    <w:p>
      <w:pPr>
        <w:pStyle w:val="TextBody"/>
        <w:rPr/>
      </w:pPr>
      <w:r>
        <w:rPr>
          <w:rStyle w:val="StrongEmphasis"/>
        </w:rPr>
        <w:t>Les points importants que vous devez adapter dans le fichier de configuration sont les suivants :</w:t>
      </w:r>
    </w:p>
    <w:p>
      <w:pPr>
        <w:pStyle w:val="TextBody"/>
        <w:numPr>
          <w:ilvl w:val="0"/>
          <w:numId w:val="19"/>
        </w:numPr>
        <w:tabs>
          <w:tab w:val="clear" w:pos="708"/>
          <w:tab w:val="left" w:pos="0" w:leader="none"/>
        </w:tabs>
        <w:ind w:left="709" w:right="0" w:hanging="283"/>
        <w:rPr/>
      </w:pPr>
      <w:r>
        <w:rPr/>
        <w:t xml:space="preserve">Dans la section </w:t>
      </w:r>
      <w:r>
        <w:rPr>
          <w:rStyle w:val="SourceText"/>
        </w:rPr>
        <w:t>[sshd]</w:t>
      </w:r>
      <w:r>
        <w:rPr/>
        <w:t>, vérifiez que le port correspond au port SSH que vous avez configuré (2222 ou 22).</w:t>
      </w:r>
    </w:p>
    <w:p>
      <w:pPr>
        <w:pStyle w:val="TextBody"/>
        <w:numPr>
          <w:ilvl w:val="0"/>
          <w:numId w:val="19"/>
        </w:numPr>
        <w:tabs>
          <w:tab w:val="clear" w:pos="708"/>
          <w:tab w:val="left" w:pos="0" w:leader="none"/>
        </w:tabs>
        <w:ind w:left="709" w:right="0" w:hanging="283"/>
        <w:rPr/>
      </w:pPr>
      <w:r>
        <w:rPr/>
        <w:t xml:space="preserve">Si vous souhaitez recevoir des emails d'alerte, configurez votre adresse email dans le paramètre </w:t>
      </w:r>
      <w:r>
        <w:rPr>
          <w:rStyle w:val="SourceText"/>
        </w:rPr>
        <w:t>destemail</w:t>
      </w:r>
      <w:r>
        <w:rPr/>
        <w:t>.</w:t>
      </w:r>
    </w:p>
    <w:p>
      <w:pPr>
        <w:pStyle w:val="TextBody"/>
        <w:numPr>
          <w:ilvl w:val="0"/>
          <w:numId w:val="19"/>
        </w:numPr>
        <w:tabs>
          <w:tab w:val="clear" w:pos="708"/>
          <w:tab w:val="left" w:pos="0" w:leader="none"/>
        </w:tabs>
        <w:ind w:left="709" w:right="0" w:hanging="283"/>
        <w:rPr/>
      </w:pPr>
      <w:r>
        <w:rPr/>
        <w:t>Si votre serveur héberge un serveur web Nginx ou Apache, activez les sections correspondantes dans le fichier de configuration.</w:t>
      </w:r>
    </w:p>
    <w:p>
      <w:pPr>
        <w:pStyle w:val="TextBody"/>
        <w:rPr/>
      </w:pPr>
      <w:r>
        <w:rPr>
          <w:rStyle w:val="StrongEmphasis"/>
        </w:rPr>
        <w:t>Les points de validation pour cette étape sont :</w:t>
      </w:r>
    </w:p>
    <w:p>
      <w:pPr>
        <w:pStyle w:val="TextBody"/>
        <w:numPr>
          <w:ilvl w:val="0"/>
          <w:numId w:val="20"/>
        </w:numPr>
        <w:tabs>
          <w:tab w:val="clear" w:pos="708"/>
          <w:tab w:val="left" w:pos="0" w:leader="none"/>
        </w:tabs>
        <w:ind w:left="709" w:right="0" w:hanging="283"/>
        <w:rPr/>
      </w:pPr>
      <w:r>
        <w:rPr/>
        <w:t xml:space="preserve">Fail2Ban est installé et le service est actif selon </w:t>
      </w:r>
      <w:r>
        <w:rPr>
          <w:rStyle w:val="StrongEmphasis"/>
        </w:rPr>
        <w:t>DOC-REF-01 [REF-FAIL2BAN-CONFIG]</w:t>
      </w:r>
      <w:r>
        <w:rPr/>
        <w:t>.</w:t>
      </w:r>
    </w:p>
    <w:p>
      <w:pPr>
        <w:pStyle w:val="TextBody"/>
        <w:numPr>
          <w:ilvl w:val="0"/>
          <w:numId w:val="20"/>
        </w:numPr>
        <w:tabs>
          <w:tab w:val="clear" w:pos="708"/>
          <w:tab w:val="left" w:pos="0" w:leader="none"/>
        </w:tabs>
        <w:ind w:left="709" w:right="0" w:hanging="283"/>
        <w:rPr/>
      </w:pPr>
      <w:r>
        <w:rPr/>
        <w:t>La jail "sshd" est activée et surveille les tentatives de connexion SSH.</w:t>
      </w:r>
    </w:p>
    <w:p>
      <w:pPr>
        <w:pStyle w:val="TextBody"/>
        <w:numPr>
          <w:ilvl w:val="0"/>
          <w:numId w:val="20"/>
        </w:numPr>
        <w:tabs>
          <w:tab w:val="clear" w:pos="708"/>
          <w:tab w:val="left" w:pos="0" w:leader="none"/>
        </w:tabs>
        <w:ind w:left="709" w:right="0" w:hanging="283"/>
        <w:rPr/>
      </w:pPr>
      <w:r>
        <w:rPr/>
        <w:t>La configuration a été adaptée aux spécificités de votre serveur (port SSH, services actifs).</w:t>
      </w:r>
    </w:p>
    <w:p>
      <w:pPr>
        <w:pStyle w:val="Heading1"/>
        <w:rPr/>
      </w:pPr>
      <w:bookmarkStart w:id="38" w:name="__RefHeading___Toc9165_2601441312"/>
      <w:bookmarkEnd w:id="38"/>
      <w:r>
        <w:rPr/>
        <w:t>CONFIGURATION DES MISES À JOUR AUTOMATIQUES</w:t>
      </w:r>
    </w:p>
    <w:p>
      <w:pPr>
        <w:pStyle w:val="Heading2"/>
        <w:rPr/>
      </w:pPr>
      <w:bookmarkStart w:id="39" w:name="__RefHeading___Toc9167_2601441312"/>
      <w:bookmarkEnd w:id="39"/>
      <w:r>
        <w:rPr/>
        <w:t>Installation et configuration de unattended-upgrades</w:t>
      </w:r>
    </w:p>
    <w:p>
      <w:pPr>
        <w:pStyle w:val="TextBody"/>
        <w:rPr/>
      </w:pPr>
      <w:r>
        <w:rPr/>
        <w:t xml:space="preserve">Le paquet unattended-upgrades permet d'appliquer automatiquement les correctifs de sécurité critiques sans intervention manuelle, ce qui est essentiel pour maintenir le serveur protégé contre les vulnérabilités connues. Vous devez installer et configurer unattended-upgrades en suivant la procédure détaillée dans le document </w:t>
      </w:r>
      <w:r>
        <w:rPr>
          <w:rStyle w:val="StrongEmphasis"/>
        </w:rPr>
        <w:t>DOC-REF-01</w:t>
      </w:r>
      <w:r>
        <w:rPr/>
        <w:t xml:space="preserve"> section </w:t>
      </w:r>
      <w:r>
        <w:rPr>
          <w:rStyle w:val="StrongEmphasis"/>
        </w:rPr>
        <w:t>[REF-MAJ-AUTO]</w:t>
      </w:r>
      <w:r>
        <w:rPr/>
        <w:t xml:space="preserve"> paragraphe 8.2.</w:t>
      </w:r>
    </w:p>
    <w:p>
      <w:pPr>
        <w:pStyle w:val="TextBody"/>
        <w:rPr/>
      </w:pPr>
      <w:r>
        <w:rPr/>
        <w:t>La procédure vous guidera pour installer les paquets nécessaires, utiliser l'assistant de configuration automatique, éditer le fichier de configuration principal pour personnaliser le comportement, et activer l'exécution quotidienne automatique des mises à jour.</w:t>
      </w:r>
    </w:p>
    <w:p>
      <w:pPr>
        <w:pStyle w:val="TextBody"/>
        <w:rPr/>
      </w:pPr>
      <w:r>
        <w:rPr>
          <w:rStyle w:val="StrongEmphasis"/>
        </w:rPr>
        <w:t>Les points importants que vous devez adapter dans le fichier de configuration sont les suivants :</w:t>
      </w:r>
    </w:p>
    <w:p>
      <w:pPr>
        <w:pStyle w:val="TextBody"/>
        <w:numPr>
          <w:ilvl w:val="0"/>
          <w:numId w:val="21"/>
        </w:numPr>
        <w:tabs>
          <w:tab w:val="clear" w:pos="708"/>
          <w:tab w:val="left" w:pos="0" w:leader="none"/>
        </w:tabs>
        <w:ind w:left="709" w:right="0" w:hanging="283"/>
        <w:rPr/>
      </w:pPr>
      <w:r>
        <w:rPr/>
        <w:t xml:space="preserve">Configurez votre adresse email dans le paramètre </w:t>
      </w:r>
      <w:r>
        <w:rPr>
          <w:rStyle w:val="SourceText"/>
        </w:rPr>
        <w:t>Unattended-Upgrade::Mail</w:t>
      </w:r>
      <w:r>
        <w:rPr/>
        <w:t xml:space="preserve"> pour recevoir les rapports de mise à jour.</w:t>
      </w:r>
    </w:p>
    <w:p>
      <w:pPr>
        <w:pStyle w:val="TextBody"/>
        <w:numPr>
          <w:ilvl w:val="0"/>
          <w:numId w:val="21"/>
        </w:numPr>
        <w:tabs>
          <w:tab w:val="clear" w:pos="708"/>
          <w:tab w:val="left" w:pos="0" w:leader="none"/>
        </w:tabs>
        <w:ind w:left="709" w:right="0" w:hanging="283"/>
        <w:rPr/>
      </w:pPr>
      <w:r>
        <w:rPr/>
        <w:t>Décidez si vous voulez autoriser le redémarrage automatique du serveur après une mise à jour qui le nécessite (recommandation : désactivé pour la production).</w:t>
      </w:r>
    </w:p>
    <w:p>
      <w:pPr>
        <w:pStyle w:val="TextBody"/>
        <w:rPr/>
      </w:pPr>
      <w:r>
        <w:rPr>
          <w:rStyle w:val="StrongEmphasis"/>
        </w:rPr>
        <w:t>Les points de validation pour cette étape sont :</w:t>
      </w:r>
    </w:p>
    <w:p>
      <w:pPr>
        <w:pStyle w:val="TextBody"/>
        <w:numPr>
          <w:ilvl w:val="0"/>
          <w:numId w:val="22"/>
        </w:numPr>
        <w:tabs>
          <w:tab w:val="clear" w:pos="708"/>
          <w:tab w:val="left" w:pos="0" w:leader="none"/>
        </w:tabs>
        <w:ind w:left="709" w:right="0" w:hanging="283"/>
        <w:rPr/>
      </w:pPr>
      <w:r>
        <w:rPr/>
        <w:t xml:space="preserve">Le paquet unattended-upgrades est installé et configuré selon </w:t>
      </w:r>
      <w:r>
        <w:rPr>
          <w:rStyle w:val="StrongEmphasis"/>
        </w:rPr>
        <w:t>DOC-REF-01 [REF-MAJ-AUTO]</w:t>
      </w:r>
      <w:r>
        <w:rPr/>
        <w:t>.</w:t>
      </w:r>
    </w:p>
    <w:p>
      <w:pPr>
        <w:pStyle w:val="TextBody"/>
        <w:numPr>
          <w:ilvl w:val="0"/>
          <w:numId w:val="22"/>
        </w:numPr>
        <w:tabs>
          <w:tab w:val="clear" w:pos="708"/>
          <w:tab w:val="left" w:pos="0" w:leader="none"/>
        </w:tabs>
        <w:ind w:left="709" w:right="0" w:hanging="283"/>
        <w:rPr/>
      </w:pPr>
      <w:r>
        <w:rPr/>
        <w:t>La configuration a été personnalisée avec votre adresse email pour les notifications.</w:t>
      </w:r>
    </w:p>
    <w:p>
      <w:pPr>
        <w:pStyle w:val="TextBody"/>
        <w:numPr>
          <w:ilvl w:val="0"/>
          <w:numId w:val="22"/>
        </w:numPr>
        <w:tabs>
          <w:tab w:val="clear" w:pos="708"/>
          <w:tab w:val="left" w:pos="0" w:leader="none"/>
        </w:tabs>
        <w:ind w:left="709" w:right="0" w:hanging="283"/>
        <w:rPr/>
      </w:pPr>
      <w:r>
        <w:rPr/>
        <w:t>Le test de simulation s'est exécuté sans erreur.</w:t>
      </w:r>
    </w:p>
    <w:p>
      <w:pPr>
        <w:pStyle w:val="Heading1"/>
        <w:rPr/>
      </w:pPr>
      <w:bookmarkStart w:id="40" w:name="__RefHeading___Toc9169_2601441312"/>
      <w:bookmarkEnd w:id="40"/>
      <w:r>
        <w:rPr/>
        <w:t>GESTION DES LOGS</w:t>
      </w:r>
    </w:p>
    <w:p>
      <w:pPr>
        <w:pStyle w:val="Heading2"/>
        <w:rPr/>
      </w:pPr>
      <w:bookmarkStart w:id="41" w:name="__RefHeading___Toc9171_2601441312"/>
      <w:bookmarkEnd w:id="41"/>
      <w:r>
        <w:rPr/>
        <w:t>Configuration de la rotation des logs avec logrotate</w:t>
      </w:r>
    </w:p>
    <w:p>
      <w:pPr>
        <w:pStyle w:val="TextBody"/>
        <w:rPr/>
      </w:pPr>
      <w:r>
        <w:rPr/>
        <w:t xml:space="preserve">La rotation automatique des logs est essentielle pour éviter la saturation de l'espace disque et pour garantir le respect des durées de conservation obligatoires pour la conformité APDP. Vous devez configurer logrotate en suivant la procédure détaillée dans le document </w:t>
      </w:r>
      <w:r>
        <w:rPr>
          <w:rStyle w:val="StrongEmphasis"/>
        </w:rPr>
        <w:t>DOC-REF-01</w:t>
      </w:r>
      <w:r>
        <w:rPr/>
        <w:t xml:space="preserve"> section </w:t>
      </w:r>
      <w:r>
        <w:rPr>
          <w:rStyle w:val="StrongEmphasis"/>
        </w:rPr>
        <w:t>[REF-LOGS-ROTATION]</w:t>
      </w:r>
      <w:r>
        <w:rPr/>
        <w:t xml:space="preserve"> paragraphe 9.4.</w:t>
      </w:r>
    </w:p>
    <w:p>
      <w:pPr>
        <w:pStyle w:val="TextBody"/>
        <w:rPr/>
      </w:pPr>
      <w:r>
        <w:rPr/>
        <w:t xml:space="preserve">La procédure vous guidera pour éditer ou créer le fichier de configuration </w:t>
      </w:r>
      <w:r>
        <w:rPr>
          <w:rStyle w:val="SourceText"/>
        </w:rPr>
        <w:t>/etc/logrotate.d/rsyslog</w:t>
      </w:r>
      <w:r>
        <w:rPr/>
        <w:t xml:space="preserve"> avec les paramètres de rotation appropriés. Les points clés de cette configuration sont la conservation du fichier auth.log pendant 26 rotations hebdomadaires (environ 6 mois) pour respecter les exigences APDP, et la conservation des fichiers syslog et kern.log pendant 12 rotations hebdomadaires (environ 3 mois).</w:t>
      </w:r>
    </w:p>
    <w:p>
      <w:pPr>
        <w:pStyle w:val="TextBody"/>
        <w:rPr/>
      </w:pPr>
      <w:r>
        <w:rPr>
          <w:rStyle w:val="StrongEmphasis"/>
        </w:rPr>
        <w:t>Le point de validation pour cette étape est :</w:t>
      </w:r>
    </w:p>
    <w:p>
      <w:pPr>
        <w:pStyle w:val="TextBody"/>
        <w:numPr>
          <w:ilvl w:val="0"/>
          <w:numId w:val="23"/>
        </w:numPr>
        <w:tabs>
          <w:tab w:val="clear" w:pos="708"/>
          <w:tab w:val="left" w:pos="0" w:leader="none"/>
        </w:tabs>
        <w:ind w:left="709" w:right="0" w:hanging="283"/>
        <w:rPr/>
      </w:pPr>
      <w:r>
        <w:rPr/>
        <w:t xml:space="preserve">Logrotate est configuré selon </w:t>
      </w:r>
      <w:r>
        <w:rPr>
          <w:rStyle w:val="StrongEmphasis"/>
        </w:rPr>
        <w:t>DOC-REF-01 [REF-LOGS-ROTATION]</w:t>
      </w:r>
      <w:r>
        <w:rPr/>
        <w:t xml:space="preserve"> avec une rétention minimale de 90 jours pour la conformité APDP.</w:t>
      </w:r>
    </w:p>
    <w:p>
      <w:pPr>
        <w:pStyle w:val="Heading1"/>
        <w:rPr/>
      </w:pPr>
      <w:bookmarkStart w:id="42" w:name="__RefHeading___Toc9173_2601441312"/>
      <w:bookmarkEnd w:id="42"/>
      <w:r>
        <w:rPr/>
        <w:t>DURCISSEMENT SYSTÈME (HARDENING)</w:t>
      </w:r>
    </w:p>
    <w:p>
      <w:pPr>
        <w:pStyle w:val="Heading2"/>
        <w:rPr/>
      </w:pPr>
      <w:bookmarkStart w:id="43" w:name="__RefHeading___Toc9175_2601441312"/>
      <w:bookmarkEnd w:id="43"/>
      <w:r>
        <w:rPr/>
        <w:t>Configuration des paramètres kernel de sécurité</w:t>
      </w:r>
    </w:p>
    <w:p>
      <w:pPr>
        <w:pStyle w:val="TextBody"/>
        <w:rPr/>
      </w:pPr>
      <w:r>
        <w:rPr/>
        <w:t xml:space="preserve">Le durcissement du kernel Linux permet de configurer des protections au niveau du noyau du système qui rendent plus difficile l'exploitation des vulnérabilités. Vous devez appliquer la configuration de durcissement kernel en suivant la procédure détaillée dans le document </w:t>
      </w:r>
      <w:r>
        <w:rPr>
          <w:rStyle w:val="StrongEmphasis"/>
        </w:rPr>
        <w:t>DOC-REF-01</w:t>
      </w:r>
      <w:r>
        <w:rPr/>
        <w:t xml:space="preserve"> section </w:t>
      </w:r>
      <w:r>
        <w:rPr>
          <w:rStyle w:val="StrongEmphasis"/>
        </w:rPr>
        <w:t xml:space="preserve">[REF-HARDENING-KERNEL] </w:t>
      </w:r>
      <w:r>
        <w:rPr/>
        <w:t>paragraphe 10.3.</w:t>
      </w:r>
    </w:p>
    <w:p>
      <w:pPr>
        <w:pStyle w:val="TextBody"/>
        <w:rPr/>
      </w:pPr>
      <w:r>
        <w:rPr/>
        <w:t xml:space="preserve">La procédure vous guidera pour éditer le fichier </w:t>
      </w:r>
      <w:r>
        <w:rPr>
          <w:rStyle w:val="SourceText"/>
        </w:rPr>
        <w:t>/etc/sysctl.conf</w:t>
      </w:r>
      <w:r>
        <w:rPr/>
        <w:t>, y ajouter tous les paramètres de sécurité recommandés, et appliquer immédiatement ces paramètres sans redémarrer le serveur.</w:t>
      </w:r>
    </w:p>
    <w:p>
      <w:pPr>
        <w:pStyle w:val="TextBody"/>
        <w:rPr/>
      </w:pPr>
      <w:r>
        <w:rPr>
          <w:rStyle w:val="StrongEmphasis"/>
        </w:rPr>
        <w:t>Les points de validation pour cette étape sont :</w:t>
      </w:r>
    </w:p>
    <w:p>
      <w:pPr>
        <w:pStyle w:val="TextBody"/>
        <w:numPr>
          <w:ilvl w:val="0"/>
          <w:numId w:val="24"/>
        </w:numPr>
        <w:tabs>
          <w:tab w:val="clear" w:pos="708"/>
          <w:tab w:val="left" w:pos="0" w:leader="none"/>
        </w:tabs>
        <w:ind w:left="709" w:right="0" w:hanging="283"/>
        <w:rPr/>
      </w:pPr>
      <w:r>
        <w:rPr/>
        <w:t xml:space="preserve">La configuration de durcissement kernel a été appliquée selon </w:t>
      </w:r>
      <w:r>
        <w:rPr>
          <w:rStyle w:val="StrongEmphasis"/>
        </w:rPr>
        <w:t>DOC-REF-01 [REF-HARDENING-KERNEL].</w:t>
      </w:r>
    </w:p>
    <w:p>
      <w:pPr>
        <w:pStyle w:val="TextBody"/>
        <w:numPr>
          <w:ilvl w:val="0"/>
          <w:numId w:val="24"/>
        </w:numPr>
        <w:tabs>
          <w:tab w:val="clear" w:pos="708"/>
          <w:tab w:val="left" w:pos="0" w:leader="none"/>
        </w:tabs>
        <w:ind w:left="709" w:right="0" w:hanging="283"/>
        <w:rPr/>
      </w:pPr>
      <w:r>
        <w:rPr/>
        <w:t>Les SYN cookies sont activés pour protéger contre les attaques par déni de service.</w:t>
      </w:r>
    </w:p>
    <w:p>
      <w:pPr>
        <w:pStyle w:val="TextBody"/>
        <w:numPr>
          <w:ilvl w:val="0"/>
          <w:numId w:val="24"/>
        </w:numPr>
        <w:tabs>
          <w:tab w:val="clear" w:pos="708"/>
          <w:tab w:val="left" w:pos="0" w:leader="none"/>
        </w:tabs>
        <w:ind w:left="709" w:right="0" w:hanging="283"/>
        <w:rPr/>
      </w:pPr>
      <w:r>
        <w:rPr/>
        <w:t>Le transfert IP est désactivé (sauf si le serveur doit agir comme routeur).</w:t>
      </w:r>
    </w:p>
    <w:p>
      <w:pPr>
        <w:pStyle w:val="TextBody"/>
        <w:numPr>
          <w:ilvl w:val="0"/>
          <w:numId w:val="24"/>
        </w:numPr>
        <w:tabs>
          <w:tab w:val="clear" w:pos="708"/>
          <w:tab w:val="left" w:pos="0" w:leader="none"/>
        </w:tabs>
        <w:ind w:left="709" w:right="0" w:hanging="283"/>
        <w:rPr/>
      </w:pPr>
      <w:r>
        <w:rPr/>
        <w:t>IPv6 est désactivé si vous ne l'utilisez pas.</w:t>
      </w:r>
    </w:p>
    <w:p>
      <w:pPr>
        <w:pStyle w:val="Heading2"/>
        <w:rPr/>
      </w:pPr>
      <w:bookmarkStart w:id="44" w:name="__RefHeading___Toc9177_2601441312"/>
      <w:bookmarkEnd w:id="44"/>
      <w:r>
        <w:rPr/>
        <w:t>Désactivation des services inutiles</w:t>
      </w:r>
    </w:p>
    <w:p>
      <w:pPr>
        <w:pStyle w:val="TextBody"/>
        <w:rPr/>
      </w:pPr>
      <w:r>
        <w:rPr/>
        <w:t xml:space="preserve">Chaque service actif sur le serveur représente une surface d'attaque potentielle. Il est donc essentiel de désactiver tous les services qui ne sont pas strictement nécessaires au fonctionnement du serveur. Consultez le document </w:t>
      </w:r>
      <w:r>
        <w:rPr>
          <w:rStyle w:val="StrongEmphasis"/>
        </w:rPr>
        <w:t>DOC-REF-01</w:t>
      </w:r>
      <w:r>
        <w:rPr/>
        <w:t xml:space="preserve"> section </w:t>
      </w:r>
      <w:r>
        <w:rPr>
          <w:rStyle w:val="StrongEmphasis"/>
        </w:rPr>
        <w:t>[REF-HARDENING-SERVICES]</w:t>
      </w:r>
      <w:r>
        <w:rPr/>
        <w:t xml:space="preserve"> paragraphe 10.2 pour la liste complète des services à désactiver et les commandes à exécuter.</w:t>
      </w:r>
    </w:p>
    <w:p>
      <w:pPr>
        <w:pStyle w:val="TextBody"/>
        <w:rPr/>
      </w:pPr>
      <w:r>
        <w:rPr>
          <w:rStyle w:val="StrongEmphasis"/>
        </w:rPr>
        <w:t>ATTENTION : Ne désactivez que les services dont vous êtes absolument certain qu'ils sont inutiles.</w:t>
      </w:r>
      <w:r>
        <w:rPr/>
        <w:t xml:space="preserve"> En cas de doute sur l'utilité d'un service, laissez-le actif et documentez votre interrogation pour investigation ultérieure.</w:t>
      </w:r>
    </w:p>
    <w:p>
      <w:pPr>
        <w:pStyle w:val="TextBody"/>
        <w:rPr/>
      </w:pPr>
      <w:r>
        <w:rPr>
          <w:rStyle w:val="StrongEmphasis"/>
        </w:rPr>
        <w:t>Le point de validation pour cette étape est :</w:t>
      </w:r>
    </w:p>
    <w:p>
      <w:pPr>
        <w:pStyle w:val="TextBody"/>
        <w:numPr>
          <w:ilvl w:val="0"/>
          <w:numId w:val="25"/>
        </w:numPr>
        <w:tabs>
          <w:tab w:val="clear" w:pos="708"/>
          <w:tab w:val="left" w:pos="0" w:leader="none"/>
        </w:tabs>
        <w:ind w:left="709" w:right="0" w:hanging="283"/>
        <w:rPr/>
      </w:pPr>
      <w:r>
        <w:rPr/>
        <w:t xml:space="preserve">Tous les services inutiles identifiés ont été arrêtés et désactivés selon </w:t>
      </w:r>
      <w:r>
        <w:rPr>
          <w:rStyle w:val="StrongEmphasis"/>
        </w:rPr>
        <w:t>DOC-REF-01 [REF-HARDENING-SERVICES]</w:t>
      </w:r>
      <w:r>
        <w:rPr/>
        <w:t>.</w:t>
      </w:r>
    </w:p>
    <w:p>
      <w:pPr>
        <w:pStyle w:val="Heading2"/>
        <w:rPr/>
      </w:pPr>
      <w:bookmarkStart w:id="45" w:name="__RefHeading___Toc9179_2601441312"/>
      <w:bookmarkEnd w:id="45"/>
      <w:r>
        <w:rPr/>
        <w:t>Protection des fichiers sensibles du système</w:t>
      </w:r>
    </w:p>
    <w:p>
      <w:pPr>
        <w:pStyle w:val="TextBody"/>
        <w:rPr/>
      </w:pPr>
      <w:r>
        <w:rPr/>
        <w:t xml:space="preserve">Certains fichiers système contiennent des informations sensibles et doivent être protégés avec des permissions strictes. Suivez la procédure dans le document </w:t>
      </w:r>
      <w:r>
        <w:rPr>
          <w:rStyle w:val="StrongEmphasis"/>
        </w:rPr>
        <w:t>DOC-REF-01</w:t>
      </w:r>
      <w:r>
        <w:rPr/>
        <w:t xml:space="preserve"> section </w:t>
      </w:r>
      <w:r>
        <w:rPr>
          <w:rStyle w:val="StrongEmphasis"/>
        </w:rPr>
        <w:t>[REF-HARDENING-FILES]</w:t>
      </w:r>
      <w:r>
        <w:rPr/>
        <w:t xml:space="preserve"> paragraphe 10.5 pour vérifier et corriger si nécessaire les permissions des fichiers </w:t>
      </w:r>
      <w:r>
        <w:rPr>
          <w:rStyle w:val="SourceText"/>
        </w:rPr>
        <w:t>/etc/passwd</w:t>
      </w:r>
      <w:r>
        <w:rPr/>
        <w:t xml:space="preserve">, </w:t>
      </w:r>
      <w:r>
        <w:rPr>
          <w:rStyle w:val="SourceText"/>
        </w:rPr>
        <w:t>/etc/shadow</w:t>
      </w:r>
      <w:r>
        <w:rPr/>
        <w:t xml:space="preserve">, </w:t>
      </w:r>
      <w:r>
        <w:rPr>
          <w:rStyle w:val="SourceText"/>
        </w:rPr>
        <w:t>/etc/gshadow</w:t>
      </w:r>
      <w:r>
        <w:rPr/>
        <w:t xml:space="preserve"> et </w:t>
      </w:r>
      <w:r>
        <w:rPr>
          <w:rStyle w:val="SourceText"/>
        </w:rPr>
        <w:t>/etc/ssh/sshd_config</w:t>
      </w:r>
      <w:r>
        <w:rPr/>
        <w:t>.</w:t>
      </w:r>
    </w:p>
    <w:p>
      <w:pPr>
        <w:pStyle w:val="TextBody"/>
        <w:rPr/>
      </w:pPr>
      <w:r>
        <w:rPr>
          <w:rStyle w:val="StrongEmphasis"/>
        </w:rPr>
        <w:t>Le point de validation pour cette étape est :</w:t>
      </w:r>
    </w:p>
    <w:p>
      <w:pPr>
        <w:pStyle w:val="TextBody"/>
        <w:numPr>
          <w:ilvl w:val="0"/>
          <w:numId w:val="26"/>
        </w:numPr>
        <w:tabs>
          <w:tab w:val="clear" w:pos="708"/>
          <w:tab w:val="left" w:pos="0" w:leader="none"/>
        </w:tabs>
        <w:ind w:left="709" w:right="0" w:hanging="283"/>
        <w:rPr/>
      </w:pPr>
      <w:r>
        <w:rPr/>
        <w:t xml:space="preserve">Les permissions des fichiers sensibles ont été vérifiées et corrigées selon </w:t>
      </w:r>
      <w:r>
        <w:rPr>
          <w:rStyle w:val="StrongEmphasis"/>
        </w:rPr>
        <w:t>DOC-REF-01 [REF-HARDENING-FILES]</w:t>
      </w:r>
      <w:r>
        <w:rPr/>
        <w:t>.</w:t>
      </w:r>
    </w:p>
    <w:p>
      <w:pPr>
        <w:pStyle w:val="Heading1"/>
        <w:rPr/>
      </w:pPr>
      <w:bookmarkStart w:id="46" w:name="__RefHeading___Toc9181_2601441312"/>
      <w:bookmarkEnd w:id="46"/>
      <w:r>
        <w:rPr/>
        <w:t>INSTALLATION DES PAQUETS DE BASE OBLIGATOIRES</w:t>
      </w:r>
    </w:p>
    <w:p>
      <w:pPr>
        <w:pStyle w:val="Heading2"/>
        <w:rPr/>
      </w:pPr>
      <w:bookmarkStart w:id="47" w:name="__RefHeading___Toc9183_2601441312"/>
      <w:bookmarkEnd w:id="47"/>
      <w:r>
        <w:rPr/>
        <w:t>Installation des outils système essentiels</w:t>
      </w:r>
    </w:p>
    <w:p>
      <w:pPr>
        <w:pStyle w:val="TextBody"/>
        <w:rPr/>
      </w:pPr>
      <w:r>
        <w:rPr/>
        <w:t>Tous les serveurs doivent avoir installé un ensemble standard d'outils qui sont nécessaires pour l'administration, la surveillance et le dépannage.</w:t>
      </w:r>
    </w:p>
    <w:p>
      <w:pPr>
        <w:pStyle w:val="TextBody"/>
        <w:rPr/>
      </w:pPr>
      <w:r>
        <w:rPr/>
        <w:t xml:space="preserve">Consultez le document </w:t>
      </w:r>
      <w:r>
        <w:rPr>
          <w:rStyle w:val="StrongEmphasis"/>
        </w:rPr>
        <w:t>DOC-REF-01</w:t>
      </w:r>
      <w:r>
        <w:rPr/>
        <w:t xml:space="preserve"> section </w:t>
      </w:r>
      <w:r>
        <w:rPr>
          <w:rStyle w:val="StrongEmphasis"/>
        </w:rPr>
        <w:t>[REF-PAQUETS]</w:t>
      </w:r>
      <w:r>
        <w:rPr/>
        <w:t xml:space="preserve"> paragraphe 12.1 pour la commande complète d'installation de tous les paquets essentiels incluant les outils de sécurité (ufw, fail2ban), les outils de surveillance système (htop, iotop, nethogs), les utilitaires réseau (curl, wget, nmap), et les outils de diagnostic.</w:t>
      </w:r>
    </w:p>
    <w:p>
      <w:pPr>
        <w:pStyle w:val="TextBody"/>
        <w:rPr/>
      </w:pPr>
      <w:r>
        <w:rPr>
          <w:rStyle w:val="StrongEmphasis"/>
        </w:rPr>
        <w:t>Le point de validation pour cette étape est :</w:t>
      </w:r>
    </w:p>
    <w:p>
      <w:pPr>
        <w:pStyle w:val="TextBody"/>
        <w:numPr>
          <w:ilvl w:val="0"/>
          <w:numId w:val="27"/>
        </w:numPr>
        <w:tabs>
          <w:tab w:val="clear" w:pos="708"/>
          <w:tab w:val="left" w:pos="0" w:leader="none"/>
        </w:tabs>
        <w:ind w:left="709" w:right="0" w:hanging="283"/>
        <w:rPr/>
      </w:pPr>
      <w:r>
        <w:rPr/>
        <w:t xml:space="preserve">Tous les paquets de base obligatoires se sont installés sans erreur selon </w:t>
      </w:r>
      <w:r>
        <w:rPr>
          <w:rStyle w:val="StrongEmphasis"/>
        </w:rPr>
        <w:t>DOC-REF-01 [REF-PAQUETS]</w:t>
      </w:r>
      <w:r>
        <w:rPr/>
        <w:t>.</w:t>
      </w:r>
    </w:p>
    <w:p>
      <w:pPr>
        <w:pStyle w:val="Heading1"/>
        <w:rPr/>
      </w:pPr>
      <w:bookmarkStart w:id="48" w:name="__RefHeading___Toc9185_2601441312"/>
      <w:bookmarkEnd w:id="48"/>
      <w:r>
        <w:rPr/>
        <w:t>CONFIGURATION SPÉCIFIQUE POUR LES DONNÉES PERSONNELLES (SI APPLICABLE)</w:t>
      </w:r>
    </w:p>
    <w:p>
      <w:pPr>
        <w:pStyle w:val="TextBody"/>
        <w:rPr/>
      </w:pPr>
      <w:r>
        <w:rPr>
          <w:rStyle w:val="StrongEmphasis"/>
          <w:color w:val="014276"/>
          <w:kern w:val="0"/>
          <w:sz w:val="24"/>
          <w:szCs w:val="24"/>
          <w:lang w:val="fr-FR" w:eastAsia="en-US" w:bidi="ar-SA"/>
        </w:rPr>
        <w:t>ATTENTION</w:t>
      </w:r>
      <w:r>
        <w:rPr>
          <w:rStyle w:val="StrongEmphasis"/>
        </w:rPr>
        <w:t xml:space="preserve"> : Cette section est OBLIGATOIRE uniquement si le serveur va traiter des données personnelles.</w:t>
      </w:r>
      <w:r>
        <w:rPr/>
        <w:t xml:space="preserve"> Si votre serveur hébergera des applications qui collectent, stockent ou traitent des informations personnelles, vous devez absolument appliquer les mesures supplémentaires décrites dans le document </w:t>
      </w:r>
      <w:r>
        <w:rPr>
          <w:rStyle w:val="StrongEmphasis"/>
        </w:rPr>
        <w:t>DOC-REF-03</w:t>
      </w:r>
      <w:r>
        <w:rPr/>
        <w:t xml:space="preserve"> (Référentiel APDP - Mesures Techniques).</w:t>
      </w:r>
    </w:p>
    <w:p>
      <w:pPr>
        <w:pStyle w:val="Heading2"/>
        <w:rPr/>
      </w:pPr>
      <w:bookmarkStart w:id="49" w:name="__RefHeading___Toc9187_2601441312"/>
      <w:bookmarkEnd w:id="49"/>
      <w:r>
        <w:rPr/>
        <w:t>Détermination de la classification des données</w:t>
      </w:r>
    </w:p>
    <w:p>
      <w:pPr>
        <w:pStyle w:val="TextBody"/>
        <w:rPr/>
      </w:pPr>
      <w:r>
        <w:rPr/>
        <w:t>La première étape consiste à déterminer précisément quel type de données personnelles sera traité sur ce serveur, car le niveau de protection requis varie selon la sensibilité des données.</w:t>
      </w:r>
    </w:p>
    <w:p>
      <w:pPr>
        <w:pStyle w:val="TextBody"/>
        <w:numPr>
          <w:ilvl w:val="0"/>
          <w:numId w:val="28"/>
        </w:numPr>
        <w:tabs>
          <w:tab w:val="clear" w:pos="708"/>
          <w:tab w:val="left" w:pos="0" w:leader="none"/>
        </w:tabs>
        <w:ind w:left="709" w:right="0" w:hanging="283"/>
        <w:rPr/>
      </w:pPr>
      <w:r>
        <w:rPr/>
        <w:t xml:space="preserve">Consultez le document </w:t>
      </w:r>
      <w:r>
        <w:rPr>
          <w:rStyle w:val="StrongEmphasis"/>
        </w:rPr>
        <w:t>DOC-REF-03</w:t>
      </w:r>
      <w:r>
        <w:rPr/>
        <w:t xml:space="preserve"> pour comprendre les différents niveaux de classification des données.</w:t>
      </w:r>
    </w:p>
    <w:p>
      <w:pPr>
        <w:pStyle w:val="TextBody"/>
        <w:numPr>
          <w:ilvl w:val="0"/>
          <w:numId w:val="28"/>
        </w:numPr>
        <w:tabs>
          <w:tab w:val="clear" w:pos="708"/>
          <w:tab w:val="left" w:pos="0" w:leader="none"/>
        </w:tabs>
        <w:ind w:left="709" w:right="0" w:hanging="283"/>
        <w:rPr/>
      </w:pPr>
      <w:r>
        <w:rPr/>
        <w:t>Si le serveur traitera des données personnelles standard (noms, emails, adresses), appliquez les mesures de protection standard.</w:t>
      </w:r>
    </w:p>
    <w:p>
      <w:pPr>
        <w:pStyle w:val="TextBody"/>
        <w:numPr>
          <w:ilvl w:val="0"/>
          <w:numId w:val="28"/>
        </w:numPr>
        <w:tabs>
          <w:tab w:val="clear" w:pos="708"/>
          <w:tab w:val="left" w:pos="0" w:leader="none"/>
        </w:tabs>
        <w:ind w:left="709" w:right="0" w:hanging="283"/>
        <w:rPr/>
      </w:pPr>
      <w:r>
        <w:rPr/>
        <w:t>Si le serveur traitera des données personnelles sensibles (santé, origine, opinions politiques, données biométriques, finances), appliquez les mesures de protection renforcées.</w:t>
      </w:r>
    </w:p>
    <w:p>
      <w:pPr>
        <w:pStyle w:val="Heading2"/>
        <w:rPr/>
      </w:pPr>
      <w:bookmarkStart w:id="50" w:name="__RefHeading___Toc9189_2601441312"/>
      <w:bookmarkEnd w:id="50"/>
      <w:r>
        <w:rPr/>
        <w:t>Application des mesures supplémentaires selon le document DOC-REF-03</w:t>
      </w:r>
    </w:p>
    <w:p>
      <w:pPr>
        <w:pStyle w:val="TextBody"/>
        <w:rPr/>
      </w:pPr>
      <w:r>
        <w:rPr>
          <w:rStyle w:val="StrongEmphasis"/>
        </w:rPr>
        <w:t>Pour les serveurs traitant des données personnelles standard, les mesures obligatoires sont les suivantes :</w:t>
      </w:r>
    </w:p>
    <w:p>
      <w:pPr>
        <w:pStyle w:val="TextBody"/>
        <w:numPr>
          <w:ilvl w:val="0"/>
          <w:numId w:val="29"/>
        </w:numPr>
        <w:tabs>
          <w:tab w:val="clear" w:pos="708"/>
          <w:tab w:val="left" w:pos="0" w:leader="none"/>
        </w:tabs>
        <w:ind w:left="709" w:right="0" w:hanging="283"/>
        <w:rPr/>
      </w:pPr>
      <w:r>
        <w:rPr/>
        <w:t xml:space="preserve">Le chiffrement HTTPS doit être activé pour toutes les communications web (voir </w:t>
      </w:r>
      <w:r>
        <w:rPr>
          <w:rStyle w:val="StrongEmphasis"/>
        </w:rPr>
        <w:t>DOC-REF-01 [REF-CHIFFREMENT-TRANSIT]</w:t>
      </w:r>
      <w:r>
        <w:rPr/>
        <w:t>).</w:t>
      </w:r>
    </w:p>
    <w:p>
      <w:pPr>
        <w:pStyle w:val="TextBody"/>
        <w:numPr>
          <w:ilvl w:val="0"/>
          <w:numId w:val="29"/>
        </w:numPr>
        <w:tabs>
          <w:tab w:val="clear" w:pos="708"/>
          <w:tab w:val="left" w:pos="0" w:leader="none"/>
        </w:tabs>
        <w:ind w:left="709" w:right="0" w:hanging="283"/>
        <w:rPr/>
      </w:pPr>
      <w:r>
        <w:rPr/>
        <w:t>Les logs d'accès doivent être activés et conservés (déjà en place avec la configuration précédente).</w:t>
      </w:r>
    </w:p>
    <w:p>
      <w:pPr>
        <w:pStyle w:val="TextBody"/>
        <w:numPr>
          <w:ilvl w:val="0"/>
          <w:numId w:val="29"/>
        </w:numPr>
        <w:tabs>
          <w:tab w:val="clear" w:pos="708"/>
          <w:tab w:val="left" w:pos="0" w:leader="none"/>
        </w:tabs>
        <w:ind w:left="709" w:right="0" w:hanging="283"/>
        <w:rPr/>
      </w:pPr>
      <w:r>
        <w:rPr/>
        <w:t>Un système de backup quotidien avec chiffrement doit être configuré (voir l'étape 16 de cette procédure).</w:t>
      </w:r>
    </w:p>
    <w:p>
      <w:pPr>
        <w:pStyle w:val="TextBody"/>
        <w:numPr>
          <w:ilvl w:val="0"/>
          <w:numId w:val="29"/>
        </w:numPr>
        <w:tabs>
          <w:tab w:val="clear" w:pos="708"/>
          <w:tab w:val="left" w:pos="0" w:leader="none"/>
        </w:tabs>
        <w:ind w:left="709" w:right="0" w:hanging="283"/>
        <w:rPr/>
      </w:pPr>
      <w:r>
        <w:rPr/>
        <w:t>L'accès au serveur doit être limité à maximum 5 personnes.</w:t>
      </w:r>
    </w:p>
    <w:p>
      <w:pPr>
        <w:pStyle w:val="TextBody"/>
        <w:rPr/>
      </w:pPr>
      <w:r>
        <w:rPr>
          <w:rStyle w:val="StrongEmphasis"/>
        </w:rPr>
        <w:t>Pour les serveurs traitant des données personnelles sensibles, les mesures obligatoires renforcées sont les suivantes :</w:t>
      </w:r>
    </w:p>
    <w:p>
      <w:pPr>
        <w:pStyle w:val="TextBody"/>
        <w:numPr>
          <w:ilvl w:val="0"/>
          <w:numId w:val="30"/>
        </w:numPr>
        <w:tabs>
          <w:tab w:val="clear" w:pos="708"/>
          <w:tab w:val="left" w:pos="0" w:leader="none"/>
        </w:tabs>
        <w:ind w:left="709" w:right="0" w:hanging="283"/>
        <w:rPr/>
      </w:pPr>
      <w:r>
        <w:rPr/>
        <w:t xml:space="preserve">Le chiffrement complet du disque avec LUKS doit être mis en place (voir </w:t>
      </w:r>
      <w:r>
        <w:rPr>
          <w:rStyle w:val="StrongEmphasis"/>
        </w:rPr>
        <w:t>DOC-REF-01 [REF-CHIFFREMENT-REPOS]</w:t>
      </w:r>
      <w:r>
        <w:rPr/>
        <w:t>).</w:t>
      </w:r>
    </w:p>
    <w:p>
      <w:pPr>
        <w:pStyle w:val="TextBody"/>
        <w:numPr>
          <w:ilvl w:val="0"/>
          <w:numId w:val="30"/>
        </w:numPr>
        <w:tabs>
          <w:tab w:val="clear" w:pos="708"/>
          <w:tab w:val="left" w:pos="0" w:leader="none"/>
        </w:tabs>
        <w:ind w:left="709" w:right="0" w:hanging="283"/>
        <w:rPr/>
      </w:pPr>
      <w:r>
        <w:rPr/>
        <w:t>L'accès au serveur doit être limité à maximum 2-3 personnes uniquement.</w:t>
      </w:r>
    </w:p>
    <w:p>
      <w:pPr>
        <w:pStyle w:val="TextBody"/>
        <w:numPr>
          <w:ilvl w:val="0"/>
          <w:numId w:val="30"/>
        </w:numPr>
        <w:tabs>
          <w:tab w:val="clear" w:pos="708"/>
          <w:tab w:val="left" w:pos="0" w:leader="none"/>
        </w:tabs>
        <w:ind w:left="709" w:right="0" w:hanging="283"/>
        <w:rPr/>
      </w:pPr>
      <w:r>
        <w:rPr/>
        <w:t>La durée de conservation des logs doit être portée à minimum 180 jours (6 mois).</w:t>
      </w:r>
    </w:p>
    <w:p>
      <w:pPr>
        <w:pStyle w:val="TextBody"/>
        <w:numPr>
          <w:ilvl w:val="0"/>
          <w:numId w:val="30"/>
        </w:numPr>
        <w:tabs>
          <w:tab w:val="clear" w:pos="708"/>
          <w:tab w:val="left" w:pos="0" w:leader="none"/>
        </w:tabs>
        <w:ind w:left="709" w:right="0" w:hanging="283"/>
        <w:rPr/>
      </w:pPr>
      <w:r>
        <w:rPr/>
        <w:t xml:space="preserve">Une Analyse d'Impact relative à la Protection des Données (AIPD) est obligatoire (voir </w:t>
      </w:r>
      <w:r>
        <w:rPr>
          <w:rStyle w:val="StrongEmphasis"/>
        </w:rPr>
        <w:t>DOC-CONF-02</w:t>
      </w:r>
      <w:r>
        <w:rPr/>
        <w:t>).</w:t>
      </w:r>
    </w:p>
    <w:p>
      <w:pPr>
        <w:pStyle w:val="TextBody"/>
        <w:rPr/>
      </w:pPr>
      <w:r>
        <w:rPr>
          <w:rStyle w:val="StrongEmphasis"/>
        </w:rPr>
        <w:t>Les points de validation pour cette section sont :</w:t>
      </w:r>
    </w:p>
    <w:p>
      <w:pPr>
        <w:pStyle w:val="TextBody"/>
        <w:numPr>
          <w:ilvl w:val="0"/>
          <w:numId w:val="31"/>
        </w:numPr>
        <w:tabs>
          <w:tab w:val="clear" w:pos="708"/>
          <w:tab w:val="left" w:pos="0" w:leader="none"/>
        </w:tabs>
        <w:ind w:left="709" w:right="0" w:hanging="283"/>
        <w:rPr/>
      </w:pPr>
      <w:r>
        <w:rPr/>
        <w:t>La classification des données a été déterminée avec précision.</w:t>
      </w:r>
    </w:p>
    <w:p>
      <w:pPr>
        <w:pStyle w:val="TextBody"/>
        <w:numPr>
          <w:ilvl w:val="0"/>
          <w:numId w:val="31"/>
        </w:numPr>
        <w:tabs>
          <w:tab w:val="clear" w:pos="708"/>
          <w:tab w:val="left" w:pos="0" w:leader="none"/>
        </w:tabs>
        <w:ind w:left="709" w:right="0" w:hanging="283"/>
        <w:rPr/>
      </w:pPr>
      <w:r>
        <w:rPr/>
        <w:t xml:space="preserve">Toutes les mesures APDP appropriées ont été appliquées conformément au document </w:t>
      </w:r>
      <w:r>
        <w:rPr>
          <w:rStyle w:val="StrongEmphasis"/>
        </w:rPr>
        <w:t>DOC-REF-03</w:t>
      </w:r>
      <w:r>
        <w:rPr/>
        <w:t>.</w:t>
      </w:r>
    </w:p>
    <w:p>
      <w:pPr>
        <w:pStyle w:val="Heading1"/>
        <w:rPr/>
      </w:pPr>
      <w:bookmarkStart w:id="51" w:name="__RefHeading___Toc9191_2601441312"/>
      <w:bookmarkEnd w:id="51"/>
      <w:r>
        <w:rPr/>
        <w:t>DOCUMENTATION DU SERVEUR</w:t>
      </w:r>
    </w:p>
    <w:p>
      <w:pPr>
        <w:pStyle w:val="Heading2"/>
        <w:rPr/>
      </w:pPr>
      <w:bookmarkStart w:id="52" w:name="__RefHeading___Toc9193_2601441312"/>
      <w:bookmarkEnd w:id="52"/>
      <w:r>
        <w:rPr/>
        <w:t>Enregistrement dans le registre central des serveurs</w:t>
      </w:r>
    </w:p>
    <w:p>
      <w:pPr>
        <w:pStyle w:val="TextBody"/>
        <w:rPr/>
      </w:pPr>
      <w:r>
        <w:rPr/>
        <w:t xml:space="preserve">Chaque serveur doit être obligatoirement enregistré dans le registre central qui inventorie tous les serveurs de l'entreprise. Ce registre se trouve dans le document </w:t>
      </w:r>
      <w:r>
        <w:rPr>
          <w:rStyle w:val="StrongEmphasis"/>
        </w:rPr>
        <w:t>DOC-OPS-01</w:t>
      </w:r>
      <w:r>
        <w:rPr/>
        <w:t xml:space="preserve"> (Registre des Serveurs).</w:t>
      </w:r>
    </w:p>
    <w:p>
      <w:pPr>
        <w:pStyle w:val="TextBody"/>
        <w:rPr/>
      </w:pPr>
      <w:r>
        <w:rPr/>
        <w:t xml:space="preserve">Vous devez ouvrir le document </w:t>
      </w:r>
      <w:r>
        <w:rPr>
          <w:rStyle w:val="StrongEmphasis"/>
        </w:rPr>
        <w:t>DOC-OPS-01</w:t>
      </w:r>
      <w:r>
        <w:rPr/>
        <w:t xml:space="preserve"> et créer une nouvelle entrée pour ce serveur en renseignant toutes les informations suivantes : nom serveur, IP publique et privée, rôle, environnement, distribution, offre OVH, datacenter, baseline appliquée (</w:t>
      </w:r>
      <w:r>
        <w:rPr>
          <w:rStyle w:val="StrongEmphasis"/>
        </w:rPr>
        <w:t>DOC-REF-01 v1.0</w:t>
      </w:r>
      <w:r>
        <w:rPr/>
        <w:t xml:space="preserve"> avec la date), port SSH, présence de données personnelles, classification des données, criticité, RTO, RPO, fréquence backup, propriétaire métier, contact technique, date de mise en service, et applications hébergées.</w:t>
      </w:r>
    </w:p>
    <w:p>
      <w:pPr>
        <w:pStyle w:val="TextBody"/>
        <w:rPr/>
      </w:pPr>
      <w:r>
        <w:rPr>
          <w:rStyle w:val="StrongEmphasis"/>
        </w:rPr>
        <w:t>Le point de validation pour cette étape est :</w:t>
      </w:r>
    </w:p>
    <w:p>
      <w:pPr>
        <w:pStyle w:val="TextBody"/>
        <w:numPr>
          <w:ilvl w:val="0"/>
          <w:numId w:val="32"/>
        </w:numPr>
        <w:tabs>
          <w:tab w:val="clear" w:pos="708"/>
          <w:tab w:val="left" w:pos="0" w:leader="none"/>
        </w:tabs>
        <w:ind w:left="709" w:right="0" w:hanging="283"/>
        <w:rPr/>
      </w:pPr>
      <w:r>
        <w:rPr/>
        <w:t xml:space="preserve">Le serveur a été enregistré dans le registre </w:t>
      </w:r>
      <w:r>
        <w:rPr>
          <w:rStyle w:val="StrongEmphasis"/>
        </w:rPr>
        <w:t>DOC-OPS-01</w:t>
      </w:r>
      <w:r>
        <w:rPr/>
        <w:t xml:space="preserve"> avec toutes les informations complètes et à jour.</w:t>
      </w:r>
    </w:p>
    <w:p>
      <w:pPr>
        <w:pStyle w:val="Heading2"/>
        <w:rPr/>
      </w:pPr>
      <w:bookmarkStart w:id="53" w:name="__RefHeading___Toc9195_2601441312"/>
      <w:bookmarkEnd w:id="53"/>
      <w:r>
        <w:rPr/>
        <w:t>Création de la documentation technique du serveur</w:t>
      </w:r>
    </w:p>
    <w:p>
      <w:pPr>
        <w:pStyle w:val="TextBody"/>
        <w:rPr/>
      </w:pPr>
      <w:r>
        <w:rPr/>
        <w:t>En complément de l'enregistrement dans le registre central, vous devez créer un dossier de documentation spécifique pour ce serveur qui contiendra la fiche technique (caractéristiques détaillées), la liste des applications hébergées, la liste des utilisateurs autorisés à accéder, et l'historique des modifications et incidents.</w:t>
      </w:r>
    </w:p>
    <w:p>
      <w:pPr>
        <w:pStyle w:val="TextBody"/>
        <w:rPr/>
      </w:pPr>
      <w:r>
        <w:rPr/>
        <w:t xml:space="preserve">Le contenu minimum obligatoire de la fiche technique doit inclure : le nom du serveur et son adresse IP, le rôle précis, la configuration matérielle détaillée, la liste complète des applications installées, la liste de tous les ports ouverts, les particularités de configuration, la date d'application de la baseline </w:t>
      </w:r>
      <w:r>
        <w:rPr>
          <w:rStyle w:val="StrongEmphasis"/>
        </w:rPr>
        <w:t>DOC-REF-01 v1.0</w:t>
      </w:r>
      <w:r>
        <w:rPr/>
        <w:t xml:space="preserve">, et la référence explicite au document </w:t>
      </w:r>
      <w:r>
        <w:rPr>
          <w:rStyle w:val="StrongEmphasis"/>
        </w:rPr>
        <w:t>DOC-REF-01</w:t>
      </w:r>
      <w:r>
        <w:rPr/>
        <w:t>.</w:t>
      </w:r>
    </w:p>
    <w:p>
      <w:pPr>
        <w:pStyle w:val="TextBody"/>
        <w:rPr/>
      </w:pPr>
      <w:r>
        <w:rPr>
          <w:rStyle w:val="StrongEmphasis"/>
        </w:rPr>
        <w:t>Le point de validation pour cette étape est :</w:t>
      </w:r>
    </w:p>
    <w:p>
      <w:pPr>
        <w:pStyle w:val="TextBody"/>
        <w:numPr>
          <w:ilvl w:val="0"/>
          <w:numId w:val="33"/>
        </w:numPr>
        <w:tabs>
          <w:tab w:val="clear" w:pos="708"/>
          <w:tab w:val="left" w:pos="0" w:leader="none"/>
        </w:tabs>
        <w:ind w:left="709" w:right="0" w:hanging="283"/>
        <w:rPr/>
      </w:pPr>
      <w:r>
        <w:rPr/>
        <w:t>Le dossier de documentation du serveur a été créé avec la fiche technique complète.</w:t>
      </w:r>
    </w:p>
    <w:p>
      <w:pPr>
        <w:pStyle w:val="Heading1"/>
        <w:rPr/>
      </w:pPr>
      <w:bookmarkStart w:id="54" w:name="__RefHeading___Toc9197_2601441312"/>
      <w:bookmarkEnd w:id="54"/>
      <w:r>
        <w:rPr/>
        <w:t>TESTS DE VALIDATION</w:t>
      </w:r>
    </w:p>
    <w:p>
      <w:pPr>
        <w:pStyle w:val="Heading2"/>
        <w:rPr/>
      </w:pPr>
      <w:bookmarkStart w:id="55" w:name="__RefHeading___Toc9199_2601441312"/>
      <w:bookmarkEnd w:id="55"/>
      <w:r>
        <w:rPr/>
        <w:t>Tests de sécurité obligatoires</w:t>
      </w:r>
    </w:p>
    <w:p>
      <w:pPr>
        <w:pStyle w:val="TextBody"/>
        <w:rPr/>
      </w:pPr>
      <w:r>
        <w:rPr>
          <w:rStyle w:val="StrongEmphasis"/>
        </w:rPr>
        <w:t>Ces tests DOIVENT impérativement être effectués avant de mettre le serveur en production.</w:t>
      </w:r>
      <w:r>
        <w:rPr/>
        <w:t xml:space="preserve"> Ils permettent de vérifier que toutes les mesures de sécurité sont correctement appliquées et fonctionnent comme prévu.</w:t>
      </w:r>
    </w:p>
    <w:p>
      <w:pPr>
        <w:pStyle w:val="Heading3"/>
        <w:rPr/>
      </w:pPr>
      <w:bookmarkStart w:id="56" w:name="__RefHeading___Toc9201_2601441312"/>
      <w:bookmarkEnd w:id="56"/>
      <w:r>
        <w:rPr/>
        <w:t>Test 1 : Vérification complète de la configuration SSH</w:t>
      </w:r>
    </w:p>
    <w:p>
      <w:pPr>
        <w:pStyle w:val="TextBody"/>
        <w:rPr/>
      </w:pPr>
      <w:r>
        <w:rPr/>
        <w:t>Ce test comporte trois parties qui doivent toutes réussir pour confirmer que SSH est correctement sécurisé.</w:t>
      </w:r>
    </w:p>
    <w:p>
      <w:pPr>
        <w:pStyle w:val="TextBody"/>
        <w:rPr/>
      </w:pPr>
      <w:r>
        <w:rPr>
          <w:rStyle w:val="StrongEmphasis"/>
        </w:rPr>
        <w:t>Test 1a :</w:t>
      </w:r>
      <w:r>
        <w:rPr/>
        <w:t xml:space="preserve"> Vérifiez que la connexion avec votre clé SSH fonctionne correctement (ce test doit réussir - la connexion doit s'établir sans demander de mot de passe).</w:t>
      </w:r>
    </w:p>
    <w:p>
      <w:pPr>
        <w:pStyle w:val="TextBody"/>
        <w:rPr/>
      </w:pPr>
      <w:r>
        <w:rPr>
          <w:rStyle w:val="StrongEmphasis"/>
        </w:rPr>
        <w:t>Test 1b :</w:t>
      </w:r>
      <w:r>
        <w:rPr/>
        <w:t xml:space="preserve"> Vérifiez que la connexion en tant que root est bien bloquée (ce test doit échouer - le message "Permission denied" doit s'afficher).</w:t>
      </w:r>
    </w:p>
    <w:p>
      <w:pPr>
        <w:pStyle w:val="TextBody"/>
        <w:rPr/>
      </w:pPr>
      <w:r>
        <w:rPr>
          <w:rStyle w:val="StrongEmphasis"/>
        </w:rPr>
        <w:t>Test 1c :</w:t>
      </w:r>
      <w:r>
        <w:rPr/>
        <w:t xml:space="preserve"> Vérifiez que l'authentification par mot de passe est bien désactivée (ce test doit échouer - seules les clés SSH doivent être acceptées).</w:t>
      </w:r>
    </w:p>
    <w:p>
      <w:pPr>
        <w:pStyle w:val="TextBody"/>
        <w:rPr/>
      </w:pPr>
      <w:r>
        <w:rPr>
          <w:rStyle w:val="StrongEmphasis"/>
        </w:rPr>
        <w:t>Les points de validation pour ce test sont :</w:t>
      </w:r>
    </w:p>
    <w:p>
      <w:pPr>
        <w:pStyle w:val="TextBody"/>
        <w:numPr>
          <w:ilvl w:val="0"/>
          <w:numId w:val="34"/>
        </w:numPr>
        <w:tabs>
          <w:tab w:val="clear" w:pos="708"/>
          <w:tab w:val="left" w:pos="0" w:leader="none"/>
        </w:tabs>
        <w:ind w:left="709" w:right="0" w:hanging="283"/>
        <w:rPr/>
      </w:pPr>
      <w:r>
        <w:rPr/>
        <w:t>La connexion SSH avec votre clé privée fonctionne correctement.</w:t>
      </w:r>
    </w:p>
    <w:p>
      <w:pPr>
        <w:pStyle w:val="TextBody"/>
        <w:numPr>
          <w:ilvl w:val="0"/>
          <w:numId w:val="34"/>
        </w:numPr>
        <w:tabs>
          <w:tab w:val="clear" w:pos="708"/>
          <w:tab w:val="left" w:pos="0" w:leader="none"/>
        </w:tabs>
        <w:ind w:left="709" w:right="0" w:hanging="283"/>
        <w:rPr/>
      </w:pPr>
      <w:r>
        <w:rPr/>
        <w:t>La connexion directe en tant que root est bien bloquée et refuse l'accès.</w:t>
      </w:r>
    </w:p>
    <w:p>
      <w:pPr>
        <w:pStyle w:val="TextBody"/>
        <w:numPr>
          <w:ilvl w:val="0"/>
          <w:numId w:val="34"/>
        </w:numPr>
        <w:tabs>
          <w:tab w:val="clear" w:pos="708"/>
          <w:tab w:val="left" w:pos="0" w:leader="none"/>
        </w:tabs>
        <w:ind w:left="709" w:right="0" w:hanging="283"/>
        <w:rPr/>
      </w:pPr>
      <w:r>
        <w:rPr/>
        <w:t>L'authentification par mot de passe est bien désactivée et refuse les connexions.</w:t>
      </w:r>
    </w:p>
    <w:p>
      <w:pPr>
        <w:pStyle w:val="Heading3"/>
        <w:rPr/>
      </w:pPr>
      <w:bookmarkStart w:id="57" w:name="__RefHeading___Toc9203_2601441312"/>
      <w:bookmarkEnd w:id="57"/>
      <w:r>
        <w:rPr/>
        <w:t>Test 2 : Scan des ports ouverts depuis l'extérieur</w:t>
      </w:r>
    </w:p>
    <w:p>
      <w:pPr>
        <w:pStyle w:val="TextBody"/>
        <w:rPr/>
      </w:pPr>
      <w:r>
        <w:rPr/>
        <w:t>Ce test permet de vérifier que seuls les ports que vous avez explicitement autorisés sont accessibles depuis Internet. Effectuez un scan de ports depuis une machine externe en utilisant nmap. Le résultat doit montrer uniquement les ports que vous avez autorisés dans UFW (par exemple : 2222 pour SSH, 80 et 443 pour un serveur web), et tous les autres ports doivent apparaître comme fermés ou filtrés.</w:t>
      </w:r>
    </w:p>
    <w:p>
      <w:pPr>
        <w:pStyle w:val="TextBody"/>
        <w:rPr/>
      </w:pPr>
      <w:r>
        <w:rPr>
          <w:rStyle w:val="StrongEmphasis"/>
        </w:rPr>
        <w:t>Les points de validation pour ce test sont :</w:t>
      </w:r>
    </w:p>
    <w:p>
      <w:pPr>
        <w:pStyle w:val="TextBody"/>
        <w:numPr>
          <w:ilvl w:val="0"/>
          <w:numId w:val="35"/>
        </w:numPr>
        <w:tabs>
          <w:tab w:val="clear" w:pos="708"/>
          <w:tab w:val="left" w:pos="0" w:leader="none"/>
        </w:tabs>
        <w:ind w:left="709" w:right="0" w:hanging="283"/>
        <w:rPr/>
      </w:pPr>
      <w:r>
        <w:rPr/>
        <w:t>Seuls les ports explicitement autorisés dans UFW apparaissent comme ouverts.</w:t>
      </w:r>
    </w:p>
    <w:p>
      <w:pPr>
        <w:pStyle w:val="TextBody"/>
        <w:numPr>
          <w:ilvl w:val="0"/>
          <w:numId w:val="35"/>
        </w:numPr>
        <w:tabs>
          <w:tab w:val="clear" w:pos="708"/>
          <w:tab w:val="left" w:pos="0" w:leader="none"/>
        </w:tabs>
        <w:ind w:left="709" w:right="0" w:hanging="283"/>
        <w:rPr/>
      </w:pPr>
      <w:r>
        <w:rPr/>
        <w:t>Aucun port inattendu ou non autorisé n'est accessible depuis l'extérieur.</w:t>
      </w:r>
    </w:p>
    <w:p>
      <w:pPr>
        <w:pStyle w:val="Heading3"/>
        <w:rPr/>
      </w:pPr>
      <w:bookmarkStart w:id="58" w:name="__RefHeading___Toc9205_2601441312"/>
      <w:bookmarkEnd w:id="58"/>
      <w:r>
        <w:rPr/>
        <w:t>Test 3 : Vérification du fonctionnement de Fail2Ban</w:t>
      </w:r>
    </w:p>
    <w:p>
      <w:pPr>
        <w:pStyle w:val="TextBody"/>
        <w:rPr/>
      </w:pPr>
      <w:r>
        <w:rPr/>
        <w:t>Ce test permet de confirmer que Fail2Ban détecte bien les tentatives de connexion échouées et bannit automatiquement les adresses IP suspectes.</w:t>
      </w:r>
    </w:p>
    <w:p>
      <w:pPr>
        <w:pStyle w:val="TextBody"/>
        <w:rPr/>
      </w:pPr>
      <w:r>
        <w:rPr>
          <w:rStyle w:val="StrongEmphasis"/>
          <w:b/>
          <w:bCs w:val="false"/>
          <w:color w:val="014276"/>
          <w:kern w:val="0"/>
          <w:sz w:val="24"/>
          <w:szCs w:val="24"/>
          <w:lang w:val="fr-FR" w:eastAsia="en-US" w:bidi="ar-SA"/>
        </w:rPr>
        <w:t>ATTENTION :</w:t>
      </w:r>
      <w:r>
        <w:rPr>
          <w:rStyle w:val="StrongEmphasis"/>
          <w:rFonts w:eastAsia="Calibri"/>
          <w:b w:val="false"/>
          <w:bCs w:val="false"/>
          <w:color w:val="auto"/>
          <w:kern w:val="0"/>
          <w:sz w:val="24"/>
          <w:szCs w:val="32"/>
          <w:lang w:val="fr-FR" w:eastAsia="en-US" w:bidi="ar-SA"/>
        </w:rPr>
        <w:t xml:space="preserve"> </w:t>
      </w:r>
      <w:r>
        <w:rPr>
          <w:rStyle w:val="StrongEmphasis"/>
          <w:rFonts w:eastAsia="Calibri"/>
          <w:b w:val="false"/>
          <w:bCs w:val="false"/>
          <w:color w:val="auto"/>
          <w:kern w:val="0"/>
          <w:sz w:val="24"/>
          <w:szCs w:val="32"/>
          <w:lang w:val="fr-FR" w:eastAsia="en-US" w:bidi="ar-SA"/>
        </w:rPr>
        <w:t>Effectuez ce test depuis une machine de test, PAS depuis votre adresse IP de gestion habituelle !</w:t>
      </w:r>
      <w:r>
        <w:rPr>
          <w:rFonts w:eastAsia="Calibri"/>
          <w:b w:val="false"/>
          <w:bCs w:val="false"/>
          <w:color w:val="auto"/>
          <w:kern w:val="0"/>
          <w:sz w:val="24"/>
          <w:szCs w:val="32"/>
          <w:lang w:val="fr-FR" w:eastAsia="en-US" w:bidi="ar-SA"/>
        </w:rPr>
        <w:t xml:space="preserve"> Si vous effectuez ce test depuis votre IP principale, vous risquez de vous bannir vous-même.</w:t>
      </w:r>
    </w:p>
    <w:p>
      <w:pPr>
        <w:pStyle w:val="TextBody"/>
        <w:rPr/>
      </w:pPr>
      <w:r>
        <w:rPr/>
        <w:t>Effectuez volontairement 3 tentatives de connexion SSH avec un mauvais mot de passe depuis une machine de test. Ensuite, vérifiez sur le serveur que l'adresse IP de test a bien été bannie en consultant le statut de la jail SSH avec Fail2Ban.</w:t>
      </w:r>
    </w:p>
    <w:p>
      <w:pPr>
        <w:pStyle w:val="TextBody"/>
        <w:rPr/>
      </w:pPr>
      <w:r>
        <w:rPr>
          <w:rStyle w:val="StrongEmphasis"/>
        </w:rPr>
        <w:t>Le point de validation pour ce test est :</w:t>
      </w:r>
    </w:p>
    <w:p>
      <w:pPr>
        <w:pStyle w:val="TextBody"/>
        <w:numPr>
          <w:ilvl w:val="0"/>
          <w:numId w:val="36"/>
        </w:numPr>
        <w:tabs>
          <w:tab w:val="clear" w:pos="708"/>
          <w:tab w:val="left" w:pos="0" w:leader="none"/>
        </w:tabs>
        <w:ind w:left="709" w:right="0" w:hanging="283"/>
        <w:rPr/>
      </w:pPr>
      <w:r>
        <w:rPr/>
        <w:t>Fail2Ban détecte les tentatives échouées et bannit automatiquement l'adresse IP après 3 tentatives.</w:t>
      </w:r>
    </w:p>
    <w:p>
      <w:pPr>
        <w:pStyle w:val="Heading3"/>
        <w:rPr/>
      </w:pPr>
      <w:bookmarkStart w:id="59" w:name="__RefHeading___Toc9209_2601441312"/>
      <w:bookmarkEnd w:id="59"/>
      <w:r>
        <w:rPr/>
        <w:t>Test 4 : Vérification de la configuration des mises à jour automatiques</w:t>
      </w:r>
    </w:p>
    <w:p>
      <w:pPr>
        <w:pStyle w:val="TextBody"/>
        <w:rPr/>
      </w:pPr>
      <w:r>
        <w:rPr/>
        <w:t>Ce test confirme que le système de mises à jour automatiques est correctement configuré et fonctionnel. Vérifiez que votre adresse email est bien configurée dans le fichier de configuration et effectuez une simulation d'exécution des mises à jour automatiques.</w:t>
      </w:r>
    </w:p>
    <w:p>
      <w:pPr>
        <w:pStyle w:val="TextBody"/>
        <w:rPr/>
      </w:pPr>
      <w:r>
        <w:rPr>
          <w:rStyle w:val="StrongEmphasis"/>
        </w:rPr>
        <w:t>Les points de validation pour ce test sont :</w:t>
      </w:r>
    </w:p>
    <w:p>
      <w:pPr>
        <w:pStyle w:val="TextBody"/>
        <w:numPr>
          <w:ilvl w:val="0"/>
          <w:numId w:val="37"/>
        </w:numPr>
        <w:tabs>
          <w:tab w:val="clear" w:pos="708"/>
          <w:tab w:val="left" w:pos="0" w:leader="none"/>
        </w:tabs>
        <w:ind w:left="709" w:right="0" w:hanging="283"/>
        <w:rPr/>
      </w:pPr>
      <w:r>
        <w:rPr/>
        <w:t>La configuration des mises à jour automatiques contient bien votre adresse email.</w:t>
      </w:r>
    </w:p>
    <w:p>
      <w:pPr>
        <w:pStyle w:val="TextBody"/>
        <w:numPr>
          <w:ilvl w:val="0"/>
          <w:numId w:val="37"/>
        </w:numPr>
        <w:tabs>
          <w:tab w:val="clear" w:pos="708"/>
          <w:tab w:val="left" w:pos="0" w:leader="none"/>
        </w:tabs>
        <w:ind w:left="709" w:right="0" w:hanging="283"/>
        <w:rPr/>
      </w:pPr>
      <w:r>
        <w:rPr/>
        <w:t>La simulation d'exécution s'effectue sans erreur.</w:t>
      </w:r>
    </w:p>
    <w:p>
      <w:pPr>
        <w:pStyle w:val="Heading3"/>
        <w:rPr/>
      </w:pPr>
      <w:bookmarkStart w:id="60" w:name="__RefHeading___Toc9211_2601441312"/>
      <w:bookmarkEnd w:id="60"/>
      <w:r>
        <w:rPr/>
        <w:t>Test 5 : Vérification de l'accessibilité et de la rotation des logs</w:t>
      </w:r>
    </w:p>
    <w:p>
      <w:pPr>
        <w:pStyle w:val="TextBody"/>
        <w:rPr/>
      </w:pPr>
      <w:r>
        <w:rPr/>
        <w:t>Ce test confirme que les logs sont correctement accessibles et que la rotation automatique est configurée. Vérifiez que les logs d'authentification sont accessibles et que la configuration de rotation pour auth.log est présente.</w:t>
      </w:r>
    </w:p>
    <w:p>
      <w:pPr>
        <w:pStyle w:val="TextBody"/>
        <w:rPr/>
      </w:pPr>
      <w:r>
        <w:rPr>
          <w:rStyle w:val="StrongEmphasis"/>
        </w:rPr>
        <w:t>Les points de validation pour ce test sont :</w:t>
      </w:r>
    </w:p>
    <w:p>
      <w:pPr>
        <w:pStyle w:val="TextBody"/>
        <w:numPr>
          <w:ilvl w:val="0"/>
          <w:numId w:val="38"/>
        </w:numPr>
        <w:tabs>
          <w:tab w:val="clear" w:pos="708"/>
          <w:tab w:val="left" w:pos="0" w:leader="none"/>
        </w:tabs>
        <w:ind w:left="709" w:right="0" w:hanging="283"/>
        <w:rPr/>
      </w:pPr>
      <w:r>
        <w:rPr/>
        <w:t>Les fichiers de logs sont accessibles et contiennent des événements.</w:t>
      </w:r>
    </w:p>
    <w:p>
      <w:pPr>
        <w:pStyle w:val="TextBody"/>
        <w:numPr>
          <w:ilvl w:val="0"/>
          <w:numId w:val="38"/>
        </w:numPr>
        <w:tabs>
          <w:tab w:val="clear" w:pos="708"/>
          <w:tab w:val="left" w:pos="0" w:leader="none"/>
        </w:tabs>
        <w:ind w:left="709" w:right="0" w:hanging="283"/>
        <w:rPr/>
      </w:pPr>
      <w:r>
        <w:rPr/>
        <w:t>La rotation automatique des logs est correctement configurée.</w:t>
      </w:r>
    </w:p>
    <w:p>
      <w:pPr>
        <w:pStyle w:val="Heading2"/>
        <w:rPr/>
      </w:pPr>
      <w:bookmarkStart w:id="61" w:name="__RefHeading___Toc9213_2601441312"/>
      <w:bookmarkEnd w:id="61"/>
      <w:r>
        <w:rPr/>
        <w:t>Utilisation du script d'audit automatique</w:t>
      </w:r>
    </w:p>
    <w:p>
      <w:pPr>
        <w:pStyle w:val="TextBody"/>
        <w:rPr/>
      </w:pPr>
      <w:r>
        <w:rPr/>
        <w:t xml:space="preserve">Pour compléter les tests manuels précédents, vous devez exécuter le script d'audit automatique qui vérifie systématiquement tous les points de la baseline de sécurité. Ce script est fourni dans le document </w:t>
      </w:r>
      <w:r>
        <w:rPr>
          <w:rStyle w:val="StrongEmphasis"/>
        </w:rPr>
        <w:t>DOC-REF-01 Annexe D</w:t>
      </w:r>
      <w:r>
        <w:rPr/>
        <w:t xml:space="preserve">. Créez le fichier du script, copiez-y le contenu depuis </w:t>
      </w:r>
      <w:r>
        <w:rPr>
          <w:rStyle w:val="StrongEmphasis"/>
        </w:rPr>
        <w:t>DOC-REF-01 Annexe D</w:t>
      </w:r>
      <w:r>
        <w:rPr/>
        <w:t>, rendez-le exécutable, et exécutez-le.</w:t>
      </w:r>
    </w:p>
    <w:p>
      <w:pPr>
        <w:pStyle w:val="TextBody"/>
        <w:rPr/>
      </w:pPr>
      <w:r>
        <w:rPr/>
        <w:t>Le résultat attendu est que tous les éléments de vérification doivent être marqués avec (OK). Si certains éléments sont marqués (KO), vous devez corriger les problèmes. Si certains éléments sont marqués (Warning), vous devez les vérifier et documenter la justification.</w:t>
      </w:r>
    </w:p>
    <w:p>
      <w:pPr>
        <w:pStyle w:val="TextBody"/>
        <w:rPr/>
      </w:pPr>
      <w:r>
        <w:rPr>
          <w:rStyle w:val="StrongEmphasis"/>
        </w:rPr>
        <w:t>Les points de validation pour cette étape sont :</w:t>
      </w:r>
    </w:p>
    <w:p>
      <w:pPr>
        <w:pStyle w:val="TextBody"/>
        <w:numPr>
          <w:ilvl w:val="0"/>
          <w:numId w:val="39"/>
        </w:numPr>
        <w:tabs>
          <w:tab w:val="clear" w:pos="708"/>
          <w:tab w:val="left" w:pos="0" w:leader="none"/>
        </w:tabs>
        <w:ind w:left="709" w:right="0" w:hanging="283"/>
        <w:rPr/>
      </w:pPr>
      <w:r>
        <w:rPr/>
        <w:t>Le script d'audit a été exécuté sans erreur.</w:t>
      </w:r>
    </w:p>
    <w:p>
      <w:pPr>
        <w:pStyle w:val="TextBody"/>
        <w:numPr>
          <w:ilvl w:val="0"/>
          <w:numId w:val="39"/>
        </w:numPr>
        <w:tabs>
          <w:tab w:val="clear" w:pos="708"/>
          <w:tab w:val="left" w:pos="0" w:leader="none"/>
        </w:tabs>
        <w:ind w:left="709" w:right="0" w:hanging="283"/>
        <w:rPr/>
      </w:pPr>
      <w:r>
        <w:rPr/>
        <w:t>Tous les contrôles de sécurité sont passés avec succès (marqués ).</w:t>
      </w:r>
    </w:p>
    <w:p>
      <w:pPr>
        <w:pStyle w:val="TextBody"/>
        <w:numPr>
          <w:ilvl w:val="0"/>
          <w:numId w:val="39"/>
        </w:numPr>
        <w:tabs>
          <w:tab w:val="clear" w:pos="708"/>
          <w:tab w:val="left" w:pos="0" w:leader="none"/>
        </w:tabs>
        <w:ind w:left="709" w:right="0" w:hanging="283"/>
        <w:rPr/>
      </w:pPr>
      <w:r>
        <w:rPr/>
        <w:t>Le rapport d'audit a été sauvegardé dans le dossier de documentation du serveur.</w:t>
      </w:r>
    </w:p>
    <w:p>
      <w:pPr>
        <w:pStyle w:val="Heading2"/>
        <w:rPr/>
      </w:pPr>
      <w:bookmarkStart w:id="62" w:name="__RefHeading___Toc9215_2601441312"/>
      <w:bookmarkEnd w:id="62"/>
      <w:r>
        <w:rPr/>
        <w:t>Tests applicatifs (si des applications sont déjà installées)</w:t>
      </w:r>
    </w:p>
    <w:p>
      <w:pPr>
        <w:pStyle w:val="TextBody"/>
        <w:rPr/>
      </w:pPr>
      <w:r>
        <w:rPr/>
        <w:t>Si vous avez déjà installé des applications sur le serveur, vous devez effectuer des tests basiques pour confirmer qu'elles fonctionnent correctement après toutes les configurations de sécurité.</w:t>
      </w:r>
    </w:p>
    <w:p>
      <w:pPr>
        <w:pStyle w:val="TextBody"/>
        <w:numPr>
          <w:ilvl w:val="0"/>
          <w:numId w:val="40"/>
        </w:numPr>
        <w:tabs>
          <w:tab w:val="clear" w:pos="708"/>
          <w:tab w:val="left" w:pos="0" w:leader="none"/>
        </w:tabs>
        <w:ind w:left="709" w:right="0" w:hanging="283"/>
        <w:rPr/>
      </w:pPr>
      <w:r>
        <w:rPr/>
        <w:t>Testez l'accès à l'application pour vérifier qu'elle est accessible.</w:t>
      </w:r>
    </w:p>
    <w:p>
      <w:pPr>
        <w:pStyle w:val="TextBody"/>
        <w:numPr>
          <w:ilvl w:val="0"/>
          <w:numId w:val="40"/>
        </w:numPr>
        <w:tabs>
          <w:tab w:val="clear" w:pos="708"/>
          <w:tab w:val="left" w:pos="0" w:leader="none"/>
        </w:tabs>
        <w:ind w:left="709" w:right="0" w:hanging="283"/>
        <w:rPr/>
      </w:pPr>
      <w:r>
        <w:rPr/>
        <w:t>Si l'application utilise une base de données, vérifiez que la connexion fonctionne correctement.</w:t>
      </w:r>
    </w:p>
    <w:p>
      <w:pPr>
        <w:pStyle w:val="TextBody"/>
        <w:numPr>
          <w:ilvl w:val="0"/>
          <w:numId w:val="40"/>
        </w:numPr>
        <w:tabs>
          <w:tab w:val="clear" w:pos="708"/>
          <w:tab w:val="left" w:pos="0" w:leader="none"/>
        </w:tabs>
        <w:ind w:left="709" w:right="0" w:hanging="283"/>
        <w:rPr/>
      </w:pPr>
      <w:r>
        <w:rPr/>
        <w:t>Effectuez un test de performance basique pour vous assurer que les configurations n'ont pas dégradé les performances.</w:t>
      </w:r>
    </w:p>
    <w:p>
      <w:pPr>
        <w:pStyle w:val="Heading1"/>
        <w:rPr/>
      </w:pPr>
      <w:bookmarkStart w:id="63" w:name="__RefHeading___Toc9217_2601441312"/>
      <w:bookmarkEnd w:id="63"/>
      <w:r>
        <w:rPr/>
        <w:t>CONFIGURATION DES SAUVEGARDES (OBLIGATOIRE)</w:t>
      </w:r>
    </w:p>
    <w:p>
      <w:pPr>
        <w:pStyle w:val="TextBody"/>
        <w:rPr/>
      </w:pPr>
      <w:r>
        <w:rPr/>
        <w:t xml:space="preserve">La configuration des sauvegardes est absolument obligatoire pour tous les serveurs. Les sauvegardes permettent de restaurer le serveur en cas de défaillance matérielle, d'erreur humaine, ou d'incident de sécurité. Pour tous les détails sur la stratégie de sauvegarde, consultez le document </w:t>
      </w:r>
      <w:r>
        <w:rPr>
          <w:rStyle w:val="StrongEmphasis"/>
        </w:rPr>
        <w:t>DOC-REF-02</w:t>
      </w:r>
      <w:r>
        <w:rPr/>
        <w:t xml:space="preserve"> (Référentiel Sauvegardes et Restauration).</w:t>
      </w:r>
    </w:p>
    <w:p>
      <w:pPr>
        <w:pStyle w:val="Heading2"/>
        <w:rPr/>
      </w:pPr>
      <w:bookmarkStart w:id="64" w:name="__RefHeading___Toc9219_2601441312"/>
      <w:bookmarkEnd w:id="64"/>
      <w:r>
        <w:rPr/>
        <w:t>Détermination de la stratégie de sauvegarde selon la criticité</w:t>
      </w:r>
    </w:p>
    <w:p>
      <w:pPr>
        <w:pStyle w:val="TextBody"/>
        <w:rPr/>
      </w:pPr>
      <w:r>
        <w:rPr/>
        <w:t xml:space="preserve">La fréquence et le type de sauvegarde dépendent de la criticité du serveur. Consultez le document </w:t>
      </w:r>
      <w:r>
        <w:rPr>
          <w:rStyle w:val="StrongEmphasis"/>
        </w:rPr>
        <w:t xml:space="preserve">DOC-REF-02 </w:t>
      </w:r>
      <w:r>
        <w:rPr/>
        <w:t>pour tous les détails : les serveurs critiques nécessitent une sauvegarde quotidienne avec rétention de 30 jours en ligne plus 90 jours hors ligne, les serveurs importants nécessitent une sauvegarde hebdomadaire avec rétention de 14 jours, et les serveurs normaux nécessitent une sauvegarde mensuelle avec rétention de 7 jours.</w:t>
      </w:r>
    </w:p>
    <w:p>
      <w:pPr>
        <w:pStyle w:val="Heading2"/>
        <w:rPr/>
      </w:pPr>
      <w:bookmarkStart w:id="65" w:name="__RefHeading___Toc9221_2601441312"/>
      <w:bookmarkEnd w:id="65"/>
      <w:r>
        <w:rPr/>
        <w:t>Activation des snapshots automatiques OVH</w:t>
      </w:r>
    </w:p>
    <w:p>
      <w:pPr>
        <w:pStyle w:val="TextBody"/>
        <w:rPr/>
      </w:pPr>
      <w:r>
        <w:rPr/>
        <w:t>OVH propose un système de snapshots automatiques qui crée des copies complètes du disque du serveur. Vous devez activer cette fonctionnalité via l'interface OVH Manager en vous connectant, en sélectionnant le serveur, en cliquant sur l'onglet "Backup automatique", et en configurant la fréquence (quotidien/hebdomadaire/mensuel selon la criticité), l'heure d'exécution (03:00 recommandé), et la rétention maximum disponible.</w:t>
      </w:r>
    </w:p>
    <w:p>
      <w:pPr>
        <w:pStyle w:val="TextBody"/>
        <w:rPr/>
      </w:pPr>
      <w:r>
        <w:rPr>
          <w:rStyle w:val="StrongEmphasis"/>
        </w:rPr>
        <w:t>Les points de validation pour cette étape sont :</w:t>
      </w:r>
    </w:p>
    <w:p>
      <w:pPr>
        <w:pStyle w:val="TextBody"/>
        <w:numPr>
          <w:ilvl w:val="0"/>
          <w:numId w:val="41"/>
        </w:numPr>
        <w:tabs>
          <w:tab w:val="clear" w:pos="708"/>
          <w:tab w:val="left" w:pos="0" w:leader="none"/>
        </w:tabs>
        <w:ind w:left="709" w:right="0" w:hanging="283"/>
        <w:rPr/>
      </w:pPr>
      <w:r>
        <w:rPr/>
        <w:t>La fonctionnalité de snapshot automatique a été activée dans l'interface OVH Manager.</w:t>
      </w:r>
    </w:p>
    <w:p>
      <w:pPr>
        <w:pStyle w:val="TextBody"/>
        <w:numPr>
          <w:ilvl w:val="0"/>
          <w:numId w:val="41"/>
        </w:numPr>
        <w:tabs>
          <w:tab w:val="clear" w:pos="708"/>
          <w:tab w:val="left" w:pos="0" w:leader="none"/>
        </w:tabs>
        <w:ind w:left="709" w:right="0" w:hanging="283"/>
        <w:rPr/>
      </w:pPr>
      <w:r>
        <w:rPr/>
        <w:t>La fréquence de snapshot est configurée selon la criticité du serveur.</w:t>
      </w:r>
    </w:p>
    <w:p>
      <w:pPr>
        <w:pStyle w:val="TextBody"/>
        <w:numPr>
          <w:ilvl w:val="0"/>
          <w:numId w:val="41"/>
        </w:numPr>
        <w:tabs>
          <w:tab w:val="clear" w:pos="708"/>
          <w:tab w:val="left" w:pos="0" w:leader="none"/>
        </w:tabs>
        <w:ind w:left="709" w:right="0" w:hanging="283"/>
        <w:rPr/>
      </w:pPr>
      <w:r>
        <w:rPr/>
        <w:t>Le premier snapshot a été créé avec succès.</w:t>
      </w:r>
    </w:p>
    <w:p>
      <w:pPr>
        <w:pStyle w:val="Heading2"/>
        <w:rPr/>
      </w:pPr>
      <w:bookmarkStart w:id="66" w:name="__RefHeading___Toc9223_2601441312"/>
      <w:bookmarkEnd w:id="66"/>
      <w:r>
        <w:rPr/>
        <w:t>Configuration du backup applicatif (obligatoire si données personnelles)</w:t>
      </w:r>
    </w:p>
    <w:p>
      <w:pPr>
        <w:pStyle w:val="TextBody"/>
        <w:rPr/>
      </w:pPr>
      <w:r>
        <w:rPr/>
        <w:t>Si le serveur contient des données personnelles, le chiffrement des sauvegardes est OBLIGATOIRE selon les exigences de l'APDP. Vous devez configurer un système de sauvegarde applicatif qui chiffre les données avant de les stocker.</w:t>
      </w:r>
    </w:p>
    <w:p>
      <w:pPr>
        <w:pStyle w:val="TextBody"/>
        <w:rPr/>
      </w:pPr>
      <w:r>
        <w:rPr/>
        <w:t xml:space="preserve">Consultez le document </w:t>
      </w:r>
      <w:r>
        <w:rPr>
          <w:rStyle w:val="StrongEmphasis"/>
        </w:rPr>
        <w:t>DOC-REF-01</w:t>
      </w:r>
      <w:r>
        <w:rPr/>
        <w:t xml:space="preserve"> section </w:t>
      </w:r>
      <w:r>
        <w:rPr>
          <w:rStyle w:val="StrongEmphasis"/>
        </w:rPr>
        <w:t>[REF-CHIFFREMENT-BACKUP]</w:t>
      </w:r>
      <w:r>
        <w:rPr/>
        <w:t xml:space="preserve"> pour un exemple de script de sauvegarde chiffrée pour une base de données MySQL. Le script doit effectuer un dump de la base de données, compresser le dump, chiffrer le fichier avec OpenSSL AES-256, uploader le fichier chiffré vers un stockage# PROC-01 : PROCÉDURE DE MISE EN SERVICE SÉCURISÉE DES SERVEURS LINUX</w:t>
      </w:r>
    </w:p>
    <w:p>
      <w:pPr>
        <w:pStyle w:val="Heading1"/>
        <w:rPr/>
      </w:pPr>
      <w:bookmarkStart w:id="67" w:name="__RefHeading___Toc9225_2601441312"/>
      <w:bookmarkEnd w:id="67"/>
      <w:r>
        <w:rPr/>
        <w:t>MISE EN PRODUCTION</w:t>
      </w:r>
    </w:p>
    <w:p>
      <w:pPr>
        <w:pStyle w:val="Heading2"/>
        <w:rPr/>
      </w:pPr>
      <w:bookmarkStart w:id="68" w:name="__RefHeading___Toc9227_2601441312"/>
      <w:bookmarkEnd w:id="68"/>
      <w:r>
        <w:rPr/>
        <w:t>Checklist finale de pré-production</w:t>
      </w:r>
    </w:p>
    <w:p>
      <w:pPr>
        <w:pStyle w:val="TextBody"/>
        <w:rPr/>
      </w:pPr>
      <w:r>
        <w:rPr>
          <w:rStyle w:val="StrongEmphasis"/>
        </w:rPr>
        <w:t>TOUS les points suivants DOIVENT être validés avant de mettre le serveur en production.</w:t>
      </w:r>
      <w:r>
        <w:rPr/>
        <w:t xml:space="preserve"> Cette checklist récapitule toutes les étapes critiques de la procédure.</w:t>
      </w:r>
    </w:p>
    <w:p>
      <w:pPr>
        <w:pStyle w:val="TextBody"/>
        <w:rPr/>
      </w:pPr>
      <w:r>
        <w:rPr>
          <w:rStyle w:val="StrongEmphasis"/>
          <w:color w:val="014276"/>
          <w:kern w:val="0"/>
          <w:sz w:val="24"/>
          <w:szCs w:val="24"/>
          <w:lang w:val="fr-FR" w:eastAsia="en-US" w:bidi="ar-SA"/>
        </w:rPr>
        <w:t>Configuration système de base :</w:t>
      </w:r>
    </w:p>
    <w:p>
      <w:pPr>
        <w:pStyle w:val="TextBody"/>
        <w:numPr>
          <w:ilvl w:val="0"/>
          <w:numId w:val="42"/>
        </w:numPr>
        <w:tabs>
          <w:tab w:val="clear" w:pos="708"/>
          <w:tab w:val="left" w:pos="0" w:leader="none"/>
        </w:tabs>
        <w:ind w:left="709" w:right="0" w:hanging="283"/>
        <w:rPr/>
      </w:pPr>
      <w:r>
        <w:rPr/>
        <w:t xml:space="preserve">Le hostname est configuré selon la convention de nommage définie dans </w:t>
      </w:r>
      <w:r>
        <w:rPr>
          <w:rStyle w:val="StrongEmphasis"/>
        </w:rPr>
        <w:t>DOC-REF-01</w:t>
      </w:r>
      <w:r>
        <w:rPr/>
        <w:t xml:space="preserve"> section </w:t>
      </w:r>
      <w:r>
        <w:rPr>
          <w:rStyle w:val="StrongEmphasis"/>
        </w:rPr>
        <w:t>[REF-HOSTNAME]</w:t>
      </w:r>
      <w:r>
        <w:rPr/>
        <w:t>.</w:t>
      </w:r>
    </w:p>
    <w:p>
      <w:pPr>
        <w:pStyle w:val="TextBody"/>
        <w:numPr>
          <w:ilvl w:val="0"/>
          <w:numId w:val="42"/>
        </w:numPr>
        <w:tabs>
          <w:tab w:val="clear" w:pos="708"/>
          <w:tab w:val="left" w:pos="0" w:leader="none"/>
        </w:tabs>
        <w:ind w:left="709" w:right="0" w:hanging="283"/>
        <w:rPr/>
      </w:pPr>
      <w:r>
        <w:rPr/>
        <w:t>Le fuseau horaire est configuré sur Africa/Porto-Novo.</w:t>
      </w:r>
    </w:p>
    <w:p>
      <w:pPr>
        <w:pStyle w:val="TextBody"/>
        <w:numPr>
          <w:ilvl w:val="0"/>
          <w:numId w:val="42"/>
        </w:numPr>
        <w:tabs>
          <w:tab w:val="clear" w:pos="708"/>
          <w:tab w:val="left" w:pos="0" w:leader="none"/>
        </w:tabs>
        <w:ind w:left="709" w:right="0" w:hanging="283"/>
        <w:rPr/>
      </w:pPr>
      <w:r>
        <w:rPr/>
        <w:t>La synchronisation NTP est active et fonctionne.</w:t>
      </w:r>
    </w:p>
    <w:p>
      <w:pPr>
        <w:pStyle w:val="TextBody"/>
        <w:numPr>
          <w:ilvl w:val="0"/>
          <w:numId w:val="42"/>
        </w:numPr>
        <w:tabs>
          <w:tab w:val="clear" w:pos="708"/>
          <w:tab w:val="left" w:pos="0" w:leader="none"/>
        </w:tabs>
        <w:ind w:left="709" w:right="0" w:hanging="283"/>
        <w:rPr/>
      </w:pPr>
      <w:r>
        <w:rPr/>
        <w:t>La locale système est configurée sur en_US.UTF-8.</w:t>
      </w:r>
    </w:p>
    <w:p>
      <w:pPr>
        <w:pStyle w:val="TextBody"/>
        <w:rPr/>
      </w:pPr>
      <w:r>
        <w:rPr>
          <w:rStyle w:val="StrongEmphasis"/>
          <w:color w:val="014276"/>
          <w:kern w:val="0"/>
          <w:sz w:val="24"/>
          <w:szCs w:val="24"/>
          <w:lang w:val="fr-FR" w:eastAsia="en-US" w:bidi="ar-SA"/>
        </w:rPr>
        <w:t>Gestion des comptes utilisateurs :</w:t>
      </w:r>
    </w:p>
    <w:p>
      <w:pPr>
        <w:pStyle w:val="TextBody"/>
        <w:numPr>
          <w:ilvl w:val="0"/>
          <w:numId w:val="43"/>
        </w:numPr>
        <w:tabs>
          <w:tab w:val="clear" w:pos="708"/>
          <w:tab w:val="left" w:pos="0" w:leader="none"/>
        </w:tabs>
        <w:ind w:left="709" w:right="0" w:hanging="283"/>
        <w:rPr/>
      </w:pPr>
      <w:r>
        <w:rPr/>
        <w:t>Un compte administrateur nominatif a été créé pour vous.</w:t>
      </w:r>
    </w:p>
    <w:p>
      <w:pPr>
        <w:pStyle w:val="TextBody"/>
        <w:numPr>
          <w:ilvl w:val="0"/>
          <w:numId w:val="43"/>
        </w:numPr>
        <w:tabs>
          <w:tab w:val="clear" w:pos="708"/>
          <w:tab w:val="left" w:pos="0" w:leader="none"/>
        </w:tabs>
        <w:ind w:left="709" w:right="0" w:hanging="283"/>
        <w:rPr/>
      </w:pPr>
      <w:r>
        <w:rPr/>
        <w:t>Le mot de passe de ce compte respecte les critères de complexité (14+ caractères avec majuscules, minuscules, chiffres, caractères spéciaux).</w:t>
      </w:r>
    </w:p>
    <w:p>
      <w:pPr>
        <w:pStyle w:val="TextBody"/>
        <w:numPr>
          <w:ilvl w:val="0"/>
          <w:numId w:val="43"/>
        </w:numPr>
        <w:tabs>
          <w:tab w:val="clear" w:pos="708"/>
          <w:tab w:val="left" w:pos="0" w:leader="none"/>
        </w:tabs>
        <w:ind w:left="709" w:right="0" w:hanging="283"/>
        <w:rPr/>
      </w:pPr>
      <w:r>
        <w:rPr/>
        <w:t>La connexion SSH par clé fonctionne correctement pour ce compte.</w:t>
      </w:r>
    </w:p>
    <w:p>
      <w:pPr>
        <w:pStyle w:val="TextBody"/>
        <w:numPr>
          <w:ilvl w:val="0"/>
          <w:numId w:val="43"/>
        </w:numPr>
        <w:tabs>
          <w:tab w:val="clear" w:pos="708"/>
          <w:tab w:val="left" w:pos="0" w:leader="none"/>
        </w:tabs>
        <w:ind w:left="709" w:right="0" w:hanging="283"/>
        <w:rPr/>
      </w:pPr>
      <w:r>
        <w:rPr/>
        <w:t>La connexion SSH en tant que root est désactivée et bloquée.</w:t>
      </w:r>
    </w:p>
    <w:p>
      <w:pPr>
        <w:pStyle w:val="TextBody"/>
        <w:numPr>
          <w:ilvl w:val="0"/>
          <w:numId w:val="43"/>
        </w:numPr>
        <w:tabs>
          <w:tab w:val="clear" w:pos="708"/>
          <w:tab w:val="left" w:pos="0" w:leader="none"/>
        </w:tabs>
        <w:ind w:left="709" w:right="0" w:hanging="283"/>
        <w:rPr/>
      </w:pPr>
      <w:r>
        <w:rPr/>
        <w:t>L'authentification par mot de passe SSH est désactivée (seules les clés sont acceptées).</w:t>
      </w:r>
    </w:p>
    <w:p>
      <w:pPr>
        <w:pStyle w:val="TextBody"/>
        <w:numPr>
          <w:ilvl w:val="0"/>
          <w:numId w:val="43"/>
        </w:numPr>
        <w:tabs>
          <w:tab w:val="clear" w:pos="708"/>
          <w:tab w:val="left" w:pos="0" w:leader="none"/>
        </w:tabs>
        <w:ind w:left="709" w:right="0" w:hanging="283"/>
        <w:rPr/>
      </w:pPr>
      <w:r>
        <w:rPr/>
        <w:t>La politique d'expiration des mots de passe est configurée (90 jours).</w:t>
      </w:r>
    </w:p>
    <w:p>
      <w:pPr>
        <w:pStyle w:val="TextBody"/>
        <w:numPr>
          <w:ilvl w:val="0"/>
          <w:numId w:val="43"/>
        </w:numPr>
        <w:tabs>
          <w:tab w:val="clear" w:pos="708"/>
          <w:tab w:val="left" w:pos="0" w:leader="none"/>
        </w:tabs>
        <w:ind w:left="709" w:right="0" w:hanging="283"/>
        <w:rPr/>
      </w:pPr>
      <w:r>
        <w:rPr/>
        <w:t>Tous les identifiants (root, compte admin, clés SSH) sont stockés dans Passbolt.</w:t>
      </w:r>
    </w:p>
    <w:p>
      <w:pPr>
        <w:pStyle w:val="TextBody"/>
        <w:rPr/>
      </w:pPr>
      <w:r>
        <w:rPr>
          <w:rStyle w:val="StrongEmphasis"/>
          <w:color w:val="014276"/>
          <w:kern w:val="0"/>
          <w:sz w:val="24"/>
          <w:szCs w:val="24"/>
          <w:lang w:val="fr-FR" w:eastAsia="en-US" w:bidi="ar-SA"/>
        </w:rPr>
        <w:t>Sécurité réseau et protection :</w:t>
      </w:r>
    </w:p>
    <w:p>
      <w:pPr>
        <w:pStyle w:val="TextBody"/>
        <w:numPr>
          <w:ilvl w:val="0"/>
          <w:numId w:val="44"/>
        </w:numPr>
        <w:tabs>
          <w:tab w:val="clear" w:pos="708"/>
          <w:tab w:val="left" w:pos="0" w:leader="none"/>
        </w:tabs>
        <w:ind w:left="709" w:right="0" w:hanging="283"/>
        <w:rPr/>
      </w:pPr>
      <w:r>
        <w:rPr/>
        <w:t>Le pare-feu UFW est activé et fonctionne.</w:t>
      </w:r>
    </w:p>
    <w:p>
      <w:pPr>
        <w:pStyle w:val="TextBody"/>
        <w:numPr>
          <w:ilvl w:val="0"/>
          <w:numId w:val="44"/>
        </w:numPr>
        <w:tabs>
          <w:tab w:val="clear" w:pos="708"/>
          <w:tab w:val="left" w:pos="0" w:leader="none"/>
        </w:tabs>
        <w:ind w:left="709" w:right="0" w:hanging="283"/>
        <w:rPr/>
      </w:pPr>
      <w:r>
        <w:rPr/>
        <w:t>Les règles UFW sont adaptées au rôle du serveur (web, base de données, etc.).</w:t>
      </w:r>
    </w:p>
    <w:p>
      <w:pPr>
        <w:pStyle w:val="TextBody"/>
        <w:numPr>
          <w:ilvl w:val="0"/>
          <w:numId w:val="44"/>
        </w:numPr>
        <w:tabs>
          <w:tab w:val="clear" w:pos="708"/>
          <w:tab w:val="left" w:pos="0" w:leader="none"/>
        </w:tabs>
        <w:ind w:left="709" w:right="0" w:hanging="283"/>
        <w:rPr/>
      </w:pPr>
      <w:r>
        <w:rPr/>
        <w:t>Fail2Ban est activé et configuré pour protéger contre les attaques par force brute.</w:t>
      </w:r>
    </w:p>
    <w:p>
      <w:pPr>
        <w:pStyle w:val="TextBody"/>
        <w:numPr>
          <w:ilvl w:val="0"/>
          <w:numId w:val="44"/>
        </w:numPr>
        <w:tabs>
          <w:tab w:val="clear" w:pos="708"/>
          <w:tab w:val="left" w:pos="0" w:leader="none"/>
        </w:tabs>
        <w:ind w:left="709" w:right="0" w:hanging="283"/>
        <w:rPr/>
      </w:pPr>
      <w:r>
        <w:rPr/>
        <w:t>Le port SSH a été modifié si vous avez choisi d'utiliser le port 2222 au lieu de 22.</w:t>
      </w:r>
    </w:p>
    <w:p>
      <w:pPr>
        <w:pStyle w:val="TextBody"/>
        <w:rPr/>
      </w:pPr>
      <w:r>
        <w:rPr>
          <w:rStyle w:val="StrongEmphasis"/>
          <w:color w:val="014276"/>
          <w:kern w:val="0"/>
          <w:sz w:val="24"/>
          <w:szCs w:val="24"/>
          <w:lang w:val="fr-FR" w:eastAsia="en-US" w:bidi="ar-SA"/>
        </w:rPr>
        <w:t>Mises à jour et maintenance système :</w:t>
      </w:r>
    </w:p>
    <w:p>
      <w:pPr>
        <w:pStyle w:val="TextBody"/>
        <w:numPr>
          <w:ilvl w:val="0"/>
          <w:numId w:val="45"/>
        </w:numPr>
        <w:tabs>
          <w:tab w:val="clear" w:pos="708"/>
          <w:tab w:val="left" w:pos="0" w:leader="none"/>
        </w:tabs>
        <w:ind w:left="709" w:right="0" w:hanging="283"/>
        <w:rPr/>
      </w:pPr>
      <w:r>
        <w:rPr/>
        <w:t>Les mises à jour automatiques de sécurité sont activées via unattended-upgrades.</w:t>
      </w:r>
    </w:p>
    <w:p>
      <w:pPr>
        <w:pStyle w:val="TextBody"/>
        <w:numPr>
          <w:ilvl w:val="0"/>
          <w:numId w:val="45"/>
        </w:numPr>
        <w:tabs>
          <w:tab w:val="clear" w:pos="708"/>
          <w:tab w:val="left" w:pos="0" w:leader="none"/>
        </w:tabs>
        <w:ind w:left="709" w:right="0" w:hanging="283"/>
        <w:rPr/>
      </w:pPr>
      <w:r>
        <w:rPr/>
        <w:t>La rotation des logs est configurée avec logrotate pour une rétention minimale de 90 jours.</w:t>
      </w:r>
    </w:p>
    <w:p>
      <w:pPr>
        <w:pStyle w:val="TextBody"/>
        <w:numPr>
          <w:ilvl w:val="0"/>
          <w:numId w:val="45"/>
        </w:numPr>
        <w:tabs>
          <w:tab w:val="clear" w:pos="708"/>
          <w:tab w:val="left" w:pos="0" w:leader="none"/>
        </w:tabs>
        <w:ind w:left="709" w:right="0" w:hanging="283"/>
        <w:rPr/>
      </w:pPr>
      <w:r>
        <w:rPr/>
        <w:t>Le durcissement du kernel a été appliqué via la configuration sysctl.</w:t>
      </w:r>
    </w:p>
    <w:p>
      <w:pPr>
        <w:pStyle w:val="TextBody"/>
        <w:numPr>
          <w:ilvl w:val="0"/>
          <w:numId w:val="45"/>
        </w:numPr>
        <w:tabs>
          <w:tab w:val="clear" w:pos="708"/>
          <w:tab w:val="left" w:pos="0" w:leader="none"/>
        </w:tabs>
        <w:ind w:left="709" w:right="0" w:hanging="283"/>
        <w:rPr/>
      </w:pPr>
      <w:r>
        <w:rPr/>
        <w:t>Les services inutiles ont été identifiés et désactivés.</w:t>
      </w:r>
    </w:p>
    <w:p>
      <w:pPr>
        <w:pStyle w:val="TextBody"/>
        <w:numPr>
          <w:ilvl w:val="0"/>
          <w:numId w:val="45"/>
        </w:numPr>
        <w:tabs>
          <w:tab w:val="clear" w:pos="708"/>
          <w:tab w:val="left" w:pos="0" w:leader="none"/>
        </w:tabs>
        <w:ind w:left="709" w:right="0" w:hanging="283"/>
        <w:rPr/>
      </w:pPr>
      <w:r>
        <w:rPr/>
        <w:t>Les paquets de base obligatoires sont tous installés.</w:t>
      </w:r>
    </w:p>
    <w:p>
      <w:pPr>
        <w:pStyle w:val="TextBody"/>
        <w:numPr>
          <w:ilvl w:val="0"/>
          <w:numId w:val="45"/>
        </w:numPr>
        <w:tabs>
          <w:tab w:val="clear" w:pos="708"/>
          <w:tab w:val="left" w:pos="0" w:leader="none"/>
        </w:tabs>
        <w:ind w:left="709" w:right="0" w:hanging="283"/>
        <w:rPr/>
      </w:pPr>
      <w:r>
        <w:rPr/>
        <w:t>Les permissions des fichiers sensibles du système sont correctes.</w:t>
      </w:r>
    </w:p>
    <w:p>
      <w:pPr>
        <w:pStyle w:val="TextBody"/>
        <w:rPr/>
      </w:pPr>
      <w:r>
        <w:rPr>
          <w:rStyle w:val="StrongEmphasis"/>
          <w:color w:val="014276"/>
          <w:kern w:val="0"/>
          <w:sz w:val="24"/>
          <w:szCs w:val="24"/>
          <w:lang w:val="fr-FR" w:eastAsia="en-US" w:bidi="ar-SA"/>
        </w:rPr>
        <w:t>Documentation et traçabilité :</w:t>
      </w:r>
    </w:p>
    <w:p>
      <w:pPr>
        <w:pStyle w:val="TextBody"/>
        <w:numPr>
          <w:ilvl w:val="0"/>
          <w:numId w:val="46"/>
        </w:numPr>
        <w:tabs>
          <w:tab w:val="clear" w:pos="708"/>
          <w:tab w:val="left" w:pos="0" w:leader="none"/>
        </w:tabs>
        <w:ind w:left="709" w:right="0" w:hanging="283"/>
        <w:rPr/>
      </w:pPr>
      <w:r>
        <w:rPr/>
        <w:t>Le serveur est enregistré dans le registre central DOC-OPS-01 avec toutes ses caractéristiques.</w:t>
      </w:r>
    </w:p>
    <w:p>
      <w:pPr>
        <w:pStyle w:val="TextBody"/>
        <w:numPr>
          <w:ilvl w:val="0"/>
          <w:numId w:val="46"/>
        </w:numPr>
        <w:tabs>
          <w:tab w:val="clear" w:pos="708"/>
          <w:tab w:val="left" w:pos="0" w:leader="none"/>
        </w:tabs>
        <w:ind w:left="709" w:right="0" w:hanging="283"/>
        <w:rPr/>
      </w:pPr>
      <w:r>
        <w:rPr/>
        <w:t>La baseline de sécurité DOC-REF-01 v1.0 est marquée comme appliquée avec la date d'application.</w:t>
      </w:r>
    </w:p>
    <w:p>
      <w:pPr>
        <w:pStyle w:val="TextBody"/>
        <w:numPr>
          <w:ilvl w:val="0"/>
          <w:numId w:val="46"/>
        </w:numPr>
        <w:tabs>
          <w:tab w:val="clear" w:pos="708"/>
          <w:tab w:val="left" w:pos="0" w:leader="none"/>
        </w:tabs>
        <w:ind w:left="709" w:right="0" w:hanging="283"/>
        <w:rPr/>
      </w:pPr>
      <w:r>
        <w:rPr/>
        <w:t>Un dossier de documentation technique a été créé pour ce serveur.</w:t>
      </w:r>
    </w:p>
    <w:p>
      <w:pPr>
        <w:pStyle w:val="TextBody"/>
        <w:numPr>
          <w:ilvl w:val="0"/>
          <w:numId w:val="46"/>
        </w:numPr>
        <w:tabs>
          <w:tab w:val="clear" w:pos="708"/>
          <w:tab w:val="left" w:pos="0" w:leader="none"/>
        </w:tabs>
        <w:ind w:left="709" w:right="0" w:hanging="283"/>
        <w:rPr/>
      </w:pPr>
      <w:r>
        <w:rPr/>
        <w:t>Les éventuelles exceptions au standard sont documentées et justifiées.</w:t>
      </w:r>
    </w:p>
    <w:p>
      <w:pPr>
        <w:pStyle w:val="TextBody"/>
        <w:rPr/>
      </w:pPr>
      <w:r>
        <w:rPr>
          <w:rStyle w:val="StrongEmphasis"/>
          <w:color w:val="014276"/>
          <w:kern w:val="0"/>
          <w:sz w:val="24"/>
          <w:szCs w:val="24"/>
          <w:lang w:val="fr-FR" w:eastAsia="en-US" w:bidi="ar-SA"/>
        </w:rPr>
        <w:t>Conformité APDP</w:t>
      </w:r>
      <w:r>
        <w:rPr>
          <w:rStyle w:val="StrongEmphasis"/>
        </w:rPr>
        <w:t xml:space="preserve"> </w:t>
      </w:r>
      <w:r>
        <w:rPr>
          <w:rStyle w:val="StrongEmphasis"/>
          <w:b w:val="false"/>
          <w:bCs w:val="false"/>
        </w:rPr>
        <w:t>(si le serveur traite des données personnelles) :</w:t>
      </w:r>
    </w:p>
    <w:p>
      <w:pPr>
        <w:pStyle w:val="TextBody"/>
        <w:numPr>
          <w:ilvl w:val="0"/>
          <w:numId w:val="47"/>
        </w:numPr>
        <w:tabs>
          <w:tab w:val="clear" w:pos="708"/>
          <w:tab w:val="left" w:pos="0" w:leader="none"/>
        </w:tabs>
        <w:ind w:left="709" w:right="0" w:hanging="283"/>
        <w:rPr/>
      </w:pPr>
      <w:r>
        <w:rPr/>
        <w:t>La classification des données (standard ou sensible) a été déterminée.</w:t>
      </w:r>
    </w:p>
    <w:p>
      <w:pPr>
        <w:pStyle w:val="TextBody"/>
        <w:numPr>
          <w:ilvl w:val="0"/>
          <w:numId w:val="47"/>
        </w:numPr>
        <w:tabs>
          <w:tab w:val="clear" w:pos="708"/>
          <w:tab w:val="left" w:pos="0" w:leader="none"/>
        </w:tabs>
        <w:ind w:left="709" w:right="0" w:hanging="283"/>
        <w:rPr/>
      </w:pPr>
      <w:r>
        <w:rPr/>
        <w:t>Les mesures de protection définies dans DOC-REF-03 ont été appliquées.</w:t>
      </w:r>
    </w:p>
    <w:p>
      <w:pPr>
        <w:pStyle w:val="TextBody"/>
        <w:numPr>
          <w:ilvl w:val="0"/>
          <w:numId w:val="47"/>
        </w:numPr>
        <w:tabs>
          <w:tab w:val="clear" w:pos="708"/>
          <w:tab w:val="left" w:pos="0" w:leader="none"/>
        </w:tabs>
        <w:ind w:left="709" w:right="0" w:hanging="283"/>
        <w:rPr/>
      </w:pPr>
      <w:r>
        <w:rPr/>
        <w:t>Le chiffrement en transit (HTTPS) est activé si nécessaire.</w:t>
      </w:r>
    </w:p>
    <w:p>
      <w:pPr>
        <w:pStyle w:val="TextBody"/>
        <w:numPr>
          <w:ilvl w:val="0"/>
          <w:numId w:val="47"/>
        </w:numPr>
        <w:tabs>
          <w:tab w:val="clear" w:pos="708"/>
          <w:tab w:val="left" w:pos="0" w:leader="none"/>
        </w:tabs>
        <w:ind w:left="709" w:right="0" w:hanging="283"/>
        <w:rPr/>
      </w:pPr>
      <w:r>
        <w:rPr/>
        <w:t>Le chiffrement au repos (LUKS) est activé pour les données sensibles si requis.</w:t>
      </w:r>
    </w:p>
    <w:p>
      <w:pPr>
        <w:pStyle w:val="TextBody"/>
        <w:numPr>
          <w:ilvl w:val="0"/>
          <w:numId w:val="47"/>
        </w:numPr>
        <w:tabs>
          <w:tab w:val="clear" w:pos="708"/>
          <w:tab w:val="left" w:pos="0" w:leader="none"/>
        </w:tabs>
        <w:ind w:left="709" w:right="0" w:hanging="283"/>
        <w:rPr/>
      </w:pPr>
      <w:r>
        <w:rPr/>
        <w:t>Les sauvegardes sont chiffrées si elles contiennent des données personnelles.</w:t>
      </w:r>
    </w:p>
    <w:p>
      <w:pPr>
        <w:pStyle w:val="TextBody"/>
        <w:numPr>
          <w:ilvl w:val="0"/>
          <w:numId w:val="47"/>
        </w:numPr>
        <w:tabs>
          <w:tab w:val="clear" w:pos="708"/>
          <w:tab w:val="left" w:pos="0" w:leader="none"/>
        </w:tabs>
        <w:ind w:left="709" w:right="0" w:hanging="283"/>
        <w:rPr/>
      </w:pPr>
      <w:r>
        <w:rPr/>
        <w:t>La limitation d'accès est configurée (maximum 5 personnes pour données standard, 2-3 pour données sensibles).</w:t>
      </w:r>
    </w:p>
    <w:p>
      <w:pPr>
        <w:pStyle w:val="TextBody"/>
        <w:rPr/>
      </w:pPr>
      <w:r>
        <w:rPr>
          <w:rStyle w:val="StrongEmphasis"/>
          <w:color w:val="014276"/>
          <w:kern w:val="0"/>
          <w:sz w:val="24"/>
          <w:szCs w:val="24"/>
          <w:lang w:val="fr-FR" w:eastAsia="en-US" w:bidi="ar-SA"/>
        </w:rPr>
        <w:t>Sauvegardes et résilience :</w:t>
      </w:r>
    </w:p>
    <w:p>
      <w:pPr>
        <w:pStyle w:val="TextBody"/>
        <w:numPr>
          <w:ilvl w:val="0"/>
          <w:numId w:val="48"/>
        </w:numPr>
        <w:tabs>
          <w:tab w:val="clear" w:pos="708"/>
          <w:tab w:val="left" w:pos="0" w:leader="none"/>
        </w:tabs>
        <w:ind w:left="709" w:right="0" w:hanging="283"/>
        <w:rPr/>
      </w:pPr>
      <w:r>
        <w:rPr/>
        <w:t>Les snapshots automatiques OVH sont activés.</w:t>
      </w:r>
    </w:p>
    <w:p>
      <w:pPr>
        <w:pStyle w:val="TextBody"/>
        <w:numPr>
          <w:ilvl w:val="0"/>
          <w:numId w:val="48"/>
        </w:numPr>
        <w:tabs>
          <w:tab w:val="clear" w:pos="708"/>
          <w:tab w:val="left" w:pos="0" w:leader="none"/>
        </w:tabs>
        <w:ind w:left="709" w:right="0" w:hanging="283"/>
        <w:rPr/>
      </w:pPr>
      <w:r>
        <w:rPr/>
        <w:t>Les sauvegardes applicatives sont configurées pour les serveurs critiques.</w:t>
      </w:r>
    </w:p>
    <w:p>
      <w:pPr>
        <w:pStyle w:val="TextBody"/>
        <w:numPr>
          <w:ilvl w:val="0"/>
          <w:numId w:val="48"/>
        </w:numPr>
        <w:tabs>
          <w:tab w:val="clear" w:pos="708"/>
          <w:tab w:val="left" w:pos="0" w:leader="none"/>
        </w:tabs>
        <w:ind w:left="709" w:right="0" w:hanging="283"/>
        <w:rPr/>
      </w:pPr>
      <w:r>
        <w:rPr/>
        <w:t>Un test de restauration est planifié pour J+7.</w:t>
      </w:r>
    </w:p>
    <w:p>
      <w:pPr>
        <w:pStyle w:val="TextBody"/>
        <w:rPr/>
      </w:pPr>
      <w:r>
        <w:rPr>
          <w:rStyle w:val="StrongEmphasis"/>
          <w:color w:val="014276"/>
          <w:kern w:val="0"/>
          <w:sz w:val="24"/>
          <w:szCs w:val="24"/>
          <w:lang w:val="fr-FR" w:eastAsia="en-US" w:bidi="ar-SA"/>
        </w:rPr>
        <w:t>Tests et validation :</w:t>
      </w:r>
    </w:p>
    <w:p>
      <w:pPr>
        <w:pStyle w:val="TextBody"/>
        <w:numPr>
          <w:ilvl w:val="0"/>
          <w:numId w:val="49"/>
        </w:numPr>
        <w:tabs>
          <w:tab w:val="clear" w:pos="708"/>
          <w:tab w:val="left" w:pos="0" w:leader="none"/>
        </w:tabs>
        <w:ind w:left="709" w:right="0" w:hanging="283"/>
        <w:rPr/>
      </w:pPr>
      <w:r>
        <w:rPr/>
        <w:t>Tous les tests SSH ont été effectués avec succès (connexion par clé OK, connexion root bloquée, authentification par mot de passe bloquée).</w:t>
      </w:r>
    </w:p>
    <w:p>
      <w:pPr>
        <w:pStyle w:val="TextBody"/>
        <w:numPr>
          <w:ilvl w:val="0"/>
          <w:numId w:val="49"/>
        </w:numPr>
        <w:tabs>
          <w:tab w:val="clear" w:pos="708"/>
          <w:tab w:val="left" w:pos="0" w:leader="none"/>
        </w:tabs>
        <w:ind w:left="709" w:right="0" w:hanging="283"/>
        <w:rPr/>
      </w:pPr>
      <w:r>
        <w:rPr/>
        <w:t>Le scan de ports montre uniquement les ports autorisés.</w:t>
      </w:r>
    </w:p>
    <w:p>
      <w:pPr>
        <w:pStyle w:val="TextBody"/>
        <w:numPr>
          <w:ilvl w:val="0"/>
          <w:numId w:val="49"/>
        </w:numPr>
        <w:tabs>
          <w:tab w:val="clear" w:pos="708"/>
          <w:tab w:val="left" w:pos="0" w:leader="none"/>
        </w:tabs>
        <w:ind w:left="709" w:right="0" w:hanging="283"/>
        <w:rPr/>
      </w:pPr>
      <w:r>
        <w:rPr/>
        <w:t>Fail2Ban bannit correctement les IPs après 3 tentatives échouées.</w:t>
      </w:r>
    </w:p>
    <w:p>
      <w:pPr>
        <w:pStyle w:val="TextBody"/>
        <w:numPr>
          <w:ilvl w:val="0"/>
          <w:numId w:val="49"/>
        </w:numPr>
        <w:tabs>
          <w:tab w:val="clear" w:pos="708"/>
          <w:tab w:val="left" w:pos="0" w:leader="none"/>
        </w:tabs>
        <w:ind w:left="709" w:right="0" w:hanging="283"/>
        <w:rPr/>
      </w:pPr>
      <w:r>
        <w:rPr/>
        <w:t>Le script d'audit de baseline a été exécuté et tous les contrôles sont passés (100% ✅).</w:t>
      </w:r>
    </w:p>
    <w:p>
      <w:pPr>
        <w:pStyle w:val="TextBody"/>
        <w:numPr>
          <w:ilvl w:val="0"/>
          <w:numId w:val="49"/>
        </w:numPr>
        <w:tabs>
          <w:tab w:val="clear" w:pos="708"/>
          <w:tab w:val="left" w:pos="0" w:leader="none"/>
        </w:tabs>
        <w:ind w:left="709" w:right="0" w:hanging="283"/>
        <w:rPr/>
      </w:pPr>
      <w:r>
        <w:rPr/>
        <w:t>Les tests applicatifs ont été effectués si des applications sont déjà installées.</w:t>
      </w:r>
    </w:p>
    <w:p>
      <w:pPr>
        <w:pStyle w:val="Heading3"/>
        <w:spacing w:before="40" w:after="283"/>
        <w:rPr/>
      </w:pPr>
      <w:bookmarkStart w:id="69" w:name="__RefHeading___Toc9229_2601441312"/>
      <w:bookmarkEnd w:id="69"/>
      <w:r>
        <w:rPr/>
        <w:t>Validation finale par les responsables</w:t>
      </w:r>
    </w:p>
    <w:p>
      <w:pPr>
        <w:pStyle w:val="TextBody"/>
        <w:rPr/>
      </w:pPr>
      <w:r>
        <w:rPr/>
        <w:t>Avant la mise en production officielle, vous devez obtenir les validations formelles des personnes suivantes :</w:t>
      </w:r>
    </w:p>
    <w:tbl>
      <w:tblPr>
        <w:tblW w:w="5000" w:type="pct"/>
        <w:jc w:val="left"/>
        <w:tblInd w:w="-5" w:type="dxa"/>
        <w:tblLayout w:type="fixed"/>
        <w:tblCellMar>
          <w:top w:w="55" w:type="dxa"/>
          <w:left w:w="55" w:type="dxa"/>
          <w:bottom w:w="55" w:type="dxa"/>
          <w:right w:w="55" w:type="dxa"/>
        </w:tblCellMar>
      </w:tblPr>
      <w:tblGrid>
        <w:gridCol w:w="2249"/>
        <w:gridCol w:w="2700"/>
        <w:gridCol w:w="4123"/>
      </w:tblGrid>
      <w:tr>
        <w:trPr/>
        <w:tc>
          <w:tcPr>
            <w:tcW w:w="2249"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b/>
                <w:b/>
                <w:bCs/>
                <w:color w:val="014276"/>
                <w:kern w:val="0"/>
                <w:sz w:val="24"/>
                <w:szCs w:val="24"/>
                <w:lang w:val="fr-FR" w:eastAsia="en-US" w:bidi="ar-SA"/>
              </w:rPr>
            </w:pPr>
            <w:r>
              <w:rPr>
                <w:b/>
                <w:bCs/>
                <w:color w:val="014276"/>
                <w:kern w:val="0"/>
                <w:sz w:val="24"/>
                <w:szCs w:val="24"/>
                <w:lang w:val="fr-FR" w:eastAsia="en-US" w:bidi="ar-SA"/>
              </w:rPr>
              <w:t>Valideur</w:t>
            </w:r>
          </w:p>
        </w:tc>
        <w:tc>
          <w:tcPr>
            <w:tcW w:w="2700"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b/>
                <w:b/>
                <w:color w:val="014276"/>
                <w:kern w:val="0"/>
                <w:sz w:val="24"/>
                <w:szCs w:val="24"/>
                <w:lang w:val="fr-FR" w:eastAsia="en-US" w:bidi="ar-SA"/>
              </w:rPr>
            </w:pPr>
            <w:r>
              <w:rPr>
                <w:b/>
                <w:color w:val="014276"/>
                <w:kern w:val="0"/>
                <w:sz w:val="24"/>
                <w:szCs w:val="24"/>
                <w:lang w:val="fr-FR" w:eastAsia="en-US" w:bidi="ar-SA"/>
              </w:rPr>
              <w:t>Rôle</w:t>
            </w:r>
          </w:p>
        </w:tc>
        <w:tc>
          <w:tcPr>
            <w:tcW w:w="4123"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b/>
                <w:b/>
                <w:bCs/>
                <w:color w:val="014276"/>
                <w:kern w:val="0"/>
                <w:sz w:val="24"/>
                <w:szCs w:val="24"/>
                <w:lang w:val="fr-FR" w:eastAsia="en-US" w:bidi="ar-SA"/>
              </w:rPr>
            </w:pPr>
            <w:r>
              <w:rPr>
                <w:b/>
                <w:bCs/>
                <w:color w:val="014276"/>
                <w:kern w:val="0"/>
                <w:sz w:val="24"/>
                <w:szCs w:val="24"/>
                <w:lang w:val="fr-FR" w:eastAsia="en-US" w:bidi="ar-SA"/>
              </w:rPr>
              <w:t>Ce qui doit être validé</w:t>
            </w:r>
          </w:p>
        </w:tc>
      </w:tr>
      <w:tr>
        <w:trPr/>
        <w:tc>
          <w:tcPr>
            <w:tcW w:w="224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Responsable SI</w:t>
            </w:r>
          </w:p>
        </w:tc>
        <w:tc>
          <w:tcPr>
            <w:tcW w:w="2700" w:type="dxa"/>
            <w:tcBorders>
              <w:left w:val="single" w:sz="4" w:space="0" w:color="000000"/>
              <w:bottom w:val="single" w:sz="4" w:space="0" w:color="000000"/>
            </w:tcBorders>
          </w:tcPr>
          <w:p>
            <w:pPr>
              <w:pStyle w:val="TableContents"/>
              <w:widowControl w:val="false"/>
              <w:suppressLineNumbers/>
              <w:spacing w:before="240" w:after="240"/>
              <w:rPr/>
            </w:pPr>
            <w:r>
              <w:rPr/>
              <w:t>Responsable des Systèmes d'Information</w:t>
            </w:r>
          </w:p>
        </w:tc>
        <w:tc>
          <w:tcPr>
            <w:tcW w:w="4123"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La configuration technique est conforme au standard DOC-REF-01</w:t>
            </w:r>
          </w:p>
        </w:tc>
      </w:tr>
      <w:tr>
        <w:trPr/>
        <w:tc>
          <w:tcPr>
            <w:tcW w:w="224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Propriétaire métier</w:t>
            </w:r>
          </w:p>
        </w:tc>
        <w:tc>
          <w:tcPr>
            <w:tcW w:w="2700" w:type="dxa"/>
            <w:tcBorders>
              <w:left w:val="single" w:sz="4" w:space="0" w:color="000000"/>
              <w:bottom w:val="single" w:sz="4" w:space="0" w:color="000000"/>
            </w:tcBorders>
          </w:tcPr>
          <w:p>
            <w:pPr>
              <w:pStyle w:val="TableContents"/>
              <w:widowControl w:val="false"/>
              <w:suppressLineNumbers/>
              <w:spacing w:before="240" w:after="240"/>
              <w:rPr/>
            </w:pPr>
            <w:r>
              <w:rPr/>
              <w:t>Responsable applicatif concerné</w:t>
            </w:r>
          </w:p>
        </w:tc>
        <w:tc>
          <w:tcPr>
            <w:tcW w:w="4123"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Le serveur répond bien au besoin métier qui a justifié sa création</w:t>
            </w:r>
          </w:p>
        </w:tc>
      </w:tr>
      <w:tr>
        <w:trPr/>
        <w:tc>
          <w:tcPr>
            <w:tcW w:w="224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Direction</w:t>
            </w:r>
            <w:r>
              <w:rPr>
                <w:b/>
                <w:bCs/>
                <w:color w:val="014276"/>
                <w:kern w:val="0"/>
                <w:sz w:val="24"/>
                <w:szCs w:val="24"/>
                <w:lang w:val="fr-FR" w:eastAsia="en-US" w:bidi="ar-SA"/>
              </w:rPr>
              <w:t xml:space="preserve"> (si serveur critique)</w:t>
            </w:r>
          </w:p>
        </w:tc>
        <w:tc>
          <w:tcPr>
            <w:tcW w:w="2700" w:type="dxa"/>
            <w:tcBorders>
              <w:left w:val="single" w:sz="4" w:space="0" w:color="000000"/>
              <w:bottom w:val="single" w:sz="4" w:space="0" w:color="000000"/>
            </w:tcBorders>
          </w:tcPr>
          <w:p>
            <w:pPr>
              <w:pStyle w:val="TableContents"/>
              <w:widowControl w:val="false"/>
              <w:suppressLineNumbers/>
              <w:spacing w:before="240" w:after="240"/>
              <w:rPr/>
            </w:pPr>
            <w:r>
              <w:rPr/>
              <w:t>Validation budgétaire et stratégique</w:t>
            </w:r>
          </w:p>
        </w:tc>
        <w:tc>
          <w:tcPr>
            <w:tcW w:w="4123"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Les coûts d'hébergement récurrents sont validés et budgétés</w:t>
            </w:r>
          </w:p>
        </w:tc>
      </w:tr>
    </w:tbl>
    <w:p>
      <w:pPr>
        <w:pStyle w:val="TextBody"/>
        <w:rPr>
          <w:rFonts w:cs="Times New Roman"/>
          <w:szCs w:val="24"/>
        </w:rPr>
      </w:pPr>
      <w:r>
        <w:rPr>
          <w:rFonts w:cs="Times New Roman"/>
          <w:szCs w:val="24"/>
        </w:rPr>
      </w:r>
    </w:p>
    <w:p>
      <w:pPr>
        <w:pStyle w:val="TextBody"/>
        <w:rPr/>
      </w:pPr>
      <w:r>
        <w:rPr>
          <w:rStyle w:val="StrongEmphasis"/>
        </w:rPr>
        <w:t>Vous devez créer un document de validation formelle :</w:t>
      </w:r>
    </w:p>
    <w:p>
      <w:pPr>
        <w:pStyle w:val="TextBody"/>
        <w:numPr>
          <w:ilvl w:val="0"/>
          <w:numId w:val="50"/>
        </w:numPr>
        <w:tabs>
          <w:tab w:val="clear" w:pos="708"/>
          <w:tab w:val="left" w:pos="0" w:leader="none"/>
        </w:tabs>
        <w:ind w:left="709" w:right="0" w:hanging="283"/>
        <w:rPr/>
      </w:pPr>
      <w:r>
        <w:rPr/>
        <w:t>Créez un document PDF nommé "Mise en service srv-[nom]-[date].pdf".</w:t>
      </w:r>
    </w:p>
    <w:p>
      <w:pPr>
        <w:pStyle w:val="TextBody"/>
        <w:numPr>
          <w:ilvl w:val="0"/>
          <w:numId w:val="50"/>
        </w:numPr>
        <w:tabs>
          <w:tab w:val="clear" w:pos="708"/>
          <w:tab w:val="left" w:pos="0" w:leader="none"/>
        </w:tabs>
        <w:ind w:left="709" w:right="0" w:hanging="283"/>
        <w:rPr/>
      </w:pPr>
      <w:r>
        <w:rPr/>
        <w:t>Incluez dans ce document : la checklist complète cochée, le rapport d'audit de baseline, les résultats de tous les tests de validation.</w:t>
      </w:r>
    </w:p>
    <w:p>
      <w:pPr>
        <w:pStyle w:val="TextBody"/>
        <w:numPr>
          <w:ilvl w:val="0"/>
          <w:numId w:val="50"/>
        </w:numPr>
        <w:tabs>
          <w:tab w:val="clear" w:pos="708"/>
          <w:tab w:val="left" w:pos="0" w:leader="none"/>
        </w:tabs>
        <w:ind w:left="709" w:right="0" w:hanging="283"/>
        <w:rPr/>
      </w:pPr>
      <w:r>
        <w:rPr/>
        <w:t>Faites signer ce document par tous les valideurs requis (signature électronique ou signature manuscrite scannée).</w:t>
      </w:r>
    </w:p>
    <w:p>
      <w:pPr>
        <w:pStyle w:val="TextBody"/>
        <w:numPr>
          <w:ilvl w:val="0"/>
          <w:numId w:val="50"/>
        </w:numPr>
        <w:tabs>
          <w:tab w:val="clear" w:pos="708"/>
          <w:tab w:val="left" w:pos="0" w:leader="none"/>
        </w:tabs>
        <w:ind w:left="709" w:right="0" w:hanging="283"/>
        <w:rPr/>
      </w:pPr>
      <w:r>
        <w:rPr/>
        <w:t>Archivez ce document de validation dans le dossier de documentation du serveur.</w:t>
      </w:r>
    </w:p>
    <w:p>
      <w:pPr>
        <w:pStyle w:val="Heading2"/>
        <w:rPr/>
      </w:pPr>
      <w:bookmarkStart w:id="70" w:name="__RefHeading___Toc9231_2601441312"/>
      <w:bookmarkEnd w:id="70"/>
      <w:r>
        <w:rPr/>
        <w:t>Communication de la mise en production</w:t>
      </w:r>
    </w:p>
    <w:p>
      <w:pPr>
        <w:pStyle w:val="TextBody"/>
        <w:rPr/>
      </w:pPr>
      <w:r>
        <w:rPr>
          <w:rStyle w:val="StrongEmphasis"/>
        </w:rPr>
        <w:t>Si le serveur est un serveur de production</w:t>
      </w:r>
      <w:r>
        <w:rPr/>
        <w:t xml:space="preserve"> qui hébergera des services accessibles aux utilisateurs, vous devez communiquer officiellement sa mise en service aux parties prenantes.</w:t>
      </w:r>
    </w:p>
    <w:p>
      <w:pPr>
        <w:pStyle w:val="TextBody"/>
        <w:rPr/>
      </w:pPr>
      <w:r>
        <w:rPr>
          <w:rStyle w:val="StrongEmphasis"/>
        </w:rPr>
        <w:t>La notification de mise en production doit être envoyée par email aux utilisateurs concernés</w:t>
      </w:r>
      <w:r>
        <w:rPr/>
        <w:t xml:space="preserve"> et doit contenir les informations suivantes :</w:t>
      </w:r>
    </w:p>
    <w:p>
      <w:pPr>
        <w:pStyle w:val="TextBody"/>
        <w:numPr>
          <w:ilvl w:val="0"/>
          <w:numId w:val="51"/>
        </w:numPr>
        <w:tabs>
          <w:tab w:val="clear" w:pos="708"/>
          <w:tab w:val="left" w:pos="0" w:leader="none"/>
        </w:tabs>
        <w:ind w:left="709" w:right="0" w:hanging="283"/>
        <w:rPr/>
      </w:pPr>
      <w:r>
        <w:rPr/>
        <w:t>Rédigez un email de notification en utilisant le template fourni ci-dessous.</w:t>
      </w:r>
    </w:p>
    <w:p>
      <w:pPr>
        <w:pStyle w:val="TextBody"/>
        <w:numPr>
          <w:ilvl w:val="0"/>
          <w:numId w:val="51"/>
        </w:numPr>
        <w:tabs>
          <w:tab w:val="clear" w:pos="708"/>
          <w:tab w:val="left" w:pos="0" w:leader="none"/>
        </w:tabs>
        <w:ind w:left="709" w:right="0" w:hanging="283"/>
        <w:rPr/>
      </w:pPr>
      <w:r>
        <w:rPr/>
        <w:t>Envoyez l'email à tous les utilisateurs qui seront concernés par ce serveur.</w:t>
      </w:r>
    </w:p>
    <w:p>
      <w:pPr>
        <w:pStyle w:val="TextBody"/>
        <w:numPr>
          <w:ilvl w:val="0"/>
          <w:numId w:val="51"/>
        </w:numPr>
        <w:tabs>
          <w:tab w:val="clear" w:pos="708"/>
          <w:tab w:val="left" w:pos="0" w:leader="none"/>
        </w:tabs>
        <w:ind w:left="709" w:right="0" w:hanging="283"/>
        <w:rPr/>
      </w:pPr>
      <w:r>
        <w:rPr/>
        <w:t>Incluez les informations essentielles : nom du serveur, adresse IP, rôle, date de mise en service.</w:t>
      </w:r>
    </w:p>
    <w:p>
      <w:pPr>
        <w:pStyle w:val="TextBody"/>
        <w:numPr>
          <w:ilvl w:val="0"/>
          <w:numId w:val="51"/>
        </w:numPr>
        <w:tabs>
          <w:tab w:val="clear" w:pos="708"/>
          <w:tab w:val="left" w:pos="0" w:leader="none"/>
        </w:tabs>
        <w:ind w:left="709" w:right="0" w:hanging="283"/>
        <w:rPr/>
      </w:pPr>
      <w:r>
        <w:rPr/>
        <w:t>Fournissez les contacts pour le support technique et applicatif.</w:t>
      </w:r>
    </w:p>
    <w:p>
      <w:pPr>
        <w:pStyle w:val="TextBody"/>
        <w:rPr/>
      </w:pPr>
      <w:r>
        <w:rPr>
          <w:rStyle w:val="StrongEmphasis"/>
        </w:rPr>
        <w:t>Template d'email de notification de mise en production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Objet : [PRODUCTION] Nouveau serveur srv-prod-web-01 opérationnel</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Bonjour,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Nous avons le plaisir de vous informer que le serveur srv-prod-web-01 est désormais en production et pleinement opérationnel.</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Caractéristiques du serveur :</w:t>
            </w:r>
          </w:p>
          <w:p>
            <w:pPr>
              <w:pStyle w:val="PreformattedText"/>
              <w:widowControl w:val="false"/>
              <w:rPr/>
            </w:pPr>
            <w:r>
              <w:rPr>
                <w:rStyle w:val="SourceText"/>
              </w:rPr>
              <w:t>- Nom du serveur : srv-prod-web-01</w:t>
            </w:r>
          </w:p>
          <w:p>
            <w:pPr>
              <w:pStyle w:val="PreformattedText"/>
              <w:widowControl w:val="false"/>
              <w:rPr/>
            </w:pPr>
            <w:r>
              <w:rPr>
                <w:rStyle w:val="SourceText"/>
              </w:rPr>
              <w:t>- Rôle : Serveur web pour l'application XYZ</w:t>
            </w:r>
          </w:p>
          <w:p>
            <w:pPr>
              <w:pStyle w:val="PreformattedText"/>
              <w:widowControl w:val="false"/>
              <w:rPr/>
            </w:pPr>
            <w:r>
              <w:rPr>
                <w:rStyle w:val="SourceText"/>
              </w:rPr>
              <w:t>- Adresse IP : XX.XX.XX.XX</w:t>
            </w:r>
          </w:p>
          <w:p>
            <w:pPr>
              <w:pStyle w:val="PreformattedText"/>
              <w:widowControl w:val="false"/>
              <w:rPr/>
            </w:pPr>
            <w:r>
              <w:rPr>
                <w:rStyle w:val="SourceText"/>
              </w:rPr>
              <w:t>- Environnement : Production</w:t>
            </w:r>
          </w:p>
          <w:p>
            <w:pPr>
              <w:pStyle w:val="PreformattedText"/>
              <w:widowControl w:val="false"/>
              <w:rPr/>
            </w:pPr>
            <w:r>
              <w:rPr>
                <w:rStyle w:val="SourceText"/>
              </w:rPr>
              <w:t>- Date de mise en service : 22/01/2026</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Applications hébergées :</w:t>
            </w:r>
          </w:p>
          <w:p>
            <w:pPr>
              <w:pStyle w:val="PreformattedText"/>
              <w:widowControl w:val="false"/>
              <w:rPr/>
            </w:pPr>
            <w:r>
              <w:rPr>
                <w:rStyle w:val="SourceText"/>
              </w:rPr>
              <w:t>- [Listez ici toutes les applications qui seront accessibles sur ce serveur]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Contacts en cas de besoin :</w:t>
            </w:r>
          </w:p>
          <w:p>
            <w:pPr>
              <w:pStyle w:val="PreformattedText"/>
              <w:widowControl w:val="false"/>
              <w:rPr/>
            </w:pPr>
            <w:r>
              <w:rPr>
                <w:rStyle w:val="SourceText"/>
              </w:rPr>
              <w:t>- Support technique : [Votre email et numéro de téléphone]</w:t>
            </w:r>
          </w:p>
          <w:p>
            <w:pPr>
              <w:pStyle w:val="PreformattedText"/>
              <w:widowControl w:val="false"/>
              <w:rPr/>
            </w:pPr>
            <w:r>
              <w:rPr>
                <w:rStyle w:val="SourceText"/>
              </w:rPr>
              <w:t>- Support applicatif : [Email et téléphone du responsable métier]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Le serveur a été configuré selon les standards de sécurité les plus stricts de l'entreprise et est conforme à toutes les exigences de l'APDP en matière de protection des données personnelles.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Nous restons à votre disposition pour toute question ou assistance.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Cordialement,</w:t>
            </w:r>
          </w:p>
          <w:p>
            <w:pPr>
              <w:pStyle w:val="PreformattedText"/>
              <w:widowControl w:val="false"/>
              <w:rPr/>
            </w:pPr>
            <w:r>
              <w:rPr>
                <w:rStyle w:val="SourceText"/>
              </w:rPr>
              <w:t>[Votre Nom]</w:t>
            </w:r>
          </w:p>
          <w:p>
            <w:pPr>
              <w:pStyle w:val="PreformattedText"/>
              <w:widowControl w:val="false"/>
              <w:spacing w:before="240" w:after="283"/>
              <w:rPr/>
            </w:pPr>
            <w:r>
              <w:rPr>
                <w:rStyle w:val="SourceText"/>
              </w:rPr>
              <w:t>Responsable des Services Internes</w:t>
            </w:r>
          </w:p>
        </w:tc>
      </w:tr>
    </w:tbl>
    <w:p>
      <w:pPr>
        <w:pStyle w:val="TextBody"/>
        <w:rPr>
          <w:rFonts w:cs="Times New Roman"/>
          <w:szCs w:val="24"/>
        </w:rPr>
      </w:pPr>
      <w:r>
        <w:rPr>
          <w:rFonts w:cs="Times New Roman"/>
          <w:szCs w:val="24"/>
        </w:rPr>
      </w:r>
    </w:p>
    <w:p>
      <w:pPr>
        <w:pStyle w:val="TextBody"/>
        <w:rPr/>
      </w:pPr>
      <w:r>
        <w:rPr>
          <w:rStyle w:val="StrongEmphasis"/>
        </w:rPr>
        <w:t>Les points de validation pour cette section sont :</w:t>
      </w:r>
    </w:p>
    <w:p>
      <w:pPr>
        <w:pStyle w:val="TextBody"/>
        <w:numPr>
          <w:ilvl w:val="0"/>
          <w:numId w:val="52"/>
        </w:numPr>
        <w:tabs>
          <w:tab w:val="clear" w:pos="708"/>
          <w:tab w:val="left" w:pos="0" w:leader="none"/>
        </w:tabs>
        <w:ind w:left="709" w:right="0" w:hanging="283"/>
        <w:rPr/>
      </w:pPr>
      <w:r>
        <w:rPr/>
        <w:t>L'email de notification a été envoyé à toutes les parties prenantes concernées.</w:t>
      </w:r>
    </w:p>
    <w:p>
      <w:pPr>
        <w:pStyle w:val="TextBody"/>
        <w:numPr>
          <w:ilvl w:val="0"/>
          <w:numId w:val="52"/>
        </w:numPr>
        <w:tabs>
          <w:tab w:val="clear" w:pos="708"/>
          <w:tab w:val="left" w:pos="0" w:leader="none"/>
        </w:tabs>
        <w:ind w:left="709" w:right="0" w:hanging="283"/>
        <w:rPr/>
      </w:pPr>
      <w:r>
        <w:rPr/>
        <w:t>La date de mise en production a été notée dans le registre DOC-OPS-01.</w:t>
      </w:r>
    </w:p>
    <w:p>
      <w:pPr>
        <w:pStyle w:val="Heading1"/>
        <w:rPr/>
      </w:pPr>
      <w:bookmarkStart w:id="71" w:name="__RefHeading___Toc9233_2601441312"/>
      <w:bookmarkEnd w:id="71"/>
      <w:r>
        <w:rPr/>
        <w:t>SUIVI POST-MISE EN SERVICE</w:t>
      </w:r>
    </w:p>
    <w:p>
      <w:pPr>
        <w:pStyle w:val="Heading2"/>
        <w:rPr/>
      </w:pPr>
      <w:bookmarkStart w:id="72" w:name="__RefHeading___Toc9235_2601441312"/>
      <w:bookmarkEnd w:id="72"/>
      <w:r>
        <w:rPr/>
        <w:t>Surveillance renforcée pendant la première semaine (J+1 à J+7)</w:t>
      </w:r>
    </w:p>
    <w:p>
      <w:pPr>
        <w:pStyle w:val="TextBody"/>
        <w:rPr/>
      </w:pPr>
      <w:r>
        <w:rPr/>
        <w:t>Pendant la première semaine suivant la mise en production, vous devez effectuer une surveillance renforcée du serveur pour détecter rapidement tout problème potentiel.</w:t>
      </w:r>
    </w:p>
    <w:p>
      <w:pPr>
        <w:pStyle w:val="TextBody"/>
        <w:rPr/>
      </w:pPr>
      <w:r>
        <w:rPr>
          <w:rStyle w:val="StrongEmphasis"/>
        </w:rPr>
        <w:t>Les actions de surveillance quotidienne à effectuer pendant la première semaine sont les suivantes :</w:t>
      </w:r>
    </w:p>
    <w:p>
      <w:pPr>
        <w:pStyle w:val="TextBody"/>
        <w:numPr>
          <w:ilvl w:val="0"/>
          <w:numId w:val="53"/>
        </w:numPr>
        <w:tabs>
          <w:tab w:val="clear" w:pos="708"/>
          <w:tab w:val="left" w:pos="0" w:leader="none"/>
        </w:tabs>
        <w:ind w:left="709" w:right="0" w:hanging="283"/>
        <w:rPr/>
      </w:pPr>
      <w:r>
        <w:rPr/>
        <w:t xml:space="preserve">Chaque jour, consultez les logs d'authentification pour identifier toute activité suspecte en exécutant : </w:t>
      </w:r>
      <w:r>
        <w:rPr>
          <w:rStyle w:val="SourceText"/>
        </w:rPr>
        <w:t>sudo tail -50 /var/log/auth.log</w:t>
      </w:r>
    </w:p>
    <w:p>
      <w:pPr>
        <w:pStyle w:val="TextBody"/>
        <w:numPr>
          <w:ilvl w:val="0"/>
          <w:numId w:val="53"/>
        </w:numPr>
        <w:tabs>
          <w:tab w:val="clear" w:pos="708"/>
          <w:tab w:val="left" w:pos="0" w:leader="none"/>
        </w:tabs>
        <w:ind w:left="709" w:right="0" w:hanging="283"/>
        <w:rPr/>
      </w:pPr>
      <w:r>
        <w:rPr/>
        <w:t xml:space="preserve">Chaque jour, vérifiez le statut de Fail2Ban et les IPs bannies en exécutant : </w:t>
      </w:r>
      <w:r>
        <w:rPr>
          <w:rStyle w:val="SourceText"/>
        </w:rPr>
        <w:t>sudo fail2ban-client status sshd</w:t>
      </w:r>
    </w:p>
    <w:p>
      <w:pPr>
        <w:pStyle w:val="TextBody"/>
        <w:numPr>
          <w:ilvl w:val="0"/>
          <w:numId w:val="53"/>
        </w:numPr>
        <w:tabs>
          <w:tab w:val="clear" w:pos="708"/>
          <w:tab w:val="left" w:pos="0" w:leader="none"/>
        </w:tabs>
        <w:ind w:left="709" w:right="0" w:hanging="283"/>
        <w:rPr/>
      </w:pPr>
      <w:r>
        <w:rPr/>
        <w:t xml:space="preserve">Chaque jour, consultez les logs du pare-feu pour voir les connexions bloquées en exécutant : </w:t>
      </w:r>
      <w:r>
        <w:rPr>
          <w:rStyle w:val="SourceText"/>
        </w:rPr>
        <w:t>sudo tail -20 /var/log/ufw.log</w:t>
      </w:r>
    </w:p>
    <w:p>
      <w:pPr>
        <w:pStyle w:val="TextBody"/>
        <w:numPr>
          <w:ilvl w:val="0"/>
          <w:numId w:val="53"/>
        </w:numPr>
        <w:tabs>
          <w:tab w:val="clear" w:pos="708"/>
          <w:tab w:val="left" w:pos="0" w:leader="none"/>
        </w:tabs>
        <w:ind w:left="709" w:right="0" w:hanging="283"/>
        <w:rPr/>
      </w:pPr>
      <w:r>
        <w:rPr/>
        <w:t xml:space="preserve">Chaque jour, vérifiez que les mises à jour automatiques fonctionnent correctement en consultant : </w:t>
      </w:r>
      <w:r>
        <w:rPr>
          <w:rStyle w:val="SourceText"/>
        </w:rPr>
        <w:t>sudo tail -20 /var/log/unattended-upgrades/unattended-upgrades.log</w:t>
      </w:r>
    </w:p>
    <w:p>
      <w:pPr>
        <w:pStyle w:val="TextBody"/>
        <w:numPr>
          <w:ilvl w:val="0"/>
          <w:numId w:val="53"/>
        </w:numPr>
        <w:tabs>
          <w:tab w:val="clear" w:pos="708"/>
          <w:tab w:val="left" w:pos="0" w:leader="none"/>
        </w:tabs>
        <w:ind w:left="709" w:right="0" w:hanging="283"/>
        <w:rPr/>
      </w:pPr>
      <w:r>
        <w:rPr/>
        <w:t xml:space="preserve">Chaque jour, testez la disponibilité du serveur en exécutant un ping simple : </w:t>
      </w:r>
      <w:r>
        <w:rPr>
          <w:rStyle w:val="SourceText"/>
        </w:rPr>
        <w:t>ping -c 3 IP_SERVEUR</w:t>
      </w:r>
    </w:p>
    <w:p>
      <w:pPr>
        <w:pStyle w:val="TextBody"/>
        <w:rPr/>
      </w:pPr>
      <w:r>
        <w:rPr>
          <w:rStyle w:val="StrongEmphasis"/>
        </w:rPr>
        <w:t>Les indicateurs d'alerte que vous devez surveiller particulièrement sont :</w:t>
      </w:r>
    </w:p>
    <w:p>
      <w:pPr>
        <w:pStyle w:val="TextBody"/>
        <w:rPr/>
      </w:pPr>
      <w:r>
        <w:rPr/>
        <w:t>Des tentatives de connexion SSH répétées depuis des adresses IP inhabituelles ou étrangères peuvent indiquer une tentative d'intrusion. Un nombre anormalement élevé d'adresses IP bannies par Fail2Ban peut révéler une attaque coordonnée. Des messages d'erreur système qui se répètent fréquemment dans les logs peuvent signaler un problème de configuration. Une dégradation notable des performances (temps de réponse lents, charge CPU élevée) peut indiquer un problème ou une attaque.</w:t>
      </w:r>
    </w:p>
    <w:p>
      <w:pPr>
        <w:pStyle w:val="Heading2"/>
        <w:rPr/>
      </w:pPr>
      <w:bookmarkStart w:id="73" w:name="__RefHeading___Toc9237_2601441312"/>
      <w:bookmarkEnd w:id="73"/>
      <w:r>
        <w:rPr/>
        <w:t>Test de restauration obligatoire à J+7</w:t>
      </w:r>
    </w:p>
    <w:p>
      <w:pPr>
        <w:pStyle w:val="TextBody"/>
        <w:rPr/>
      </w:pPr>
      <w:r>
        <w:rPr>
          <w:rStyle w:val="StrongEmphasis"/>
        </w:rPr>
        <w:t>Ce test est OBLIGATOIRE et doit être effectué dans les 7 jours suivant la mise en service du serveur.</w:t>
      </w:r>
      <w:r>
        <w:rPr/>
        <w:t xml:space="preserve"> Il permet de vérifier que les sauvegardes fonctionnent correctement et que vous êtes capable de restaurer le serveur en cas de problème.</w:t>
      </w:r>
    </w:p>
    <w:p>
      <w:pPr>
        <w:pStyle w:val="TextBody"/>
        <w:rPr/>
      </w:pPr>
      <w:r>
        <w:rPr/>
        <w:t>Pour la procédure complète de test de restauration, consultez le document DOC-REF-02 (Procédure de Restauration).</w:t>
      </w:r>
    </w:p>
    <w:p>
      <w:pPr>
        <w:pStyle w:val="TextBody"/>
        <w:rPr/>
      </w:pPr>
      <w:r>
        <w:rPr>
          <w:rStyle w:val="StrongEmphasis"/>
        </w:rPr>
        <w:t>Les étapes du test de restauration sont les suivantes :</w:t>
      </w:r>
    </w:p>
    <w:p>
      <w:pPr>
        <w:pStyle w:val="TextBody"/>
        <w:numPr>
          <w:ilvl w:val="0"/>
          <w:numId w:val="54"/>
        </w:numPr>
        <w:tabs>
          <w:tab w:val="clear" w:pos="708"/>
          <w:tab w:val="left" w:pos="0" w:leader="none"/>
        </w:tabs>
        <w:ind w:left="709" w:right="0" w:hanging="283"/>
        <w:rPr/>
      </w:pPr>
      <w:r>
        <w:rPr/>
        <w:t>Créez un serveur de test temporaire (ou utilisez un serveur de développement existant) pour effectuer la restauration.</w:t>
      </w:r>
    </w:p>
    <w:p>
      <w:pPr>
        <w:pStyle w:val="TextBody"/>
        <w:numPr>
          <w:ilvl w:val="0"/>
          <w:numId w:val="54"/>
        </w:numPr>
        <w:tabs>
          <w:tab w:val="clear" w:pos="708"/>
          <w:tab w:val="left" w:pos="0" w:leader="none"/>
        </w:tabs>
        <w:ind w:left="709" w:right="0" w:hanging="283"/>
        <w:rPr/>
      </w:pPr>
      <w:r>
        <w:rPr/>
        <w:t>Restaurez le dernier snapshot ou backup du serveur de production sur ce serveur de test.</w:t>
      </w:r>
    </w:p>
    <w:p>
      <w:pPr>
        <w:pStyle w:val="TextBody"/>
        <w:numPr>
          <w:ilvl w:val="0"/>
          <w:numId w:val="54"/>
        </w:numPr>
        <w:tabs>
          <w:tab w:val="clear" w:pos="708"/>
          <w:tab w:val="left" w:pos="0" w:leader="none"/>
        </w:tabs>
        <w:ind w:left="709" w:right="0" w:hanging="283"/>
        <w:rPr/>
      </w:pPr>
      <w:r>
        <w:rPr/>
        <w:t>Vérifiez l'intégrité complète des données en consultant les fichiers et les bases de données.</w:t>
      </w:r>
    </w:p>
    <w:p>
      <w:pPr>
        <w:pStyle w:val="TextBody"/>
        <w:numPr>
          <w:ilvl w:val="0"/>
          <w:numId w:val="54"/>
        </w:numPr>
        <w:tabs>
          <w:tab w:val="clear" w:pos="708"/>
          <w:tab w:val="left" w:pos="0" w:leader="none"/>
        </w:tabs>
        <w:ind w:left="709" w:right="0" w:hanging="283"/>
        <w:rPr/>
      </w:pPr>
      <w:r>
        <w:rPr/>
        <w:t>Testez l'accès aux applications pour confirmer qu'elles fonctionnent correctement après restauration.</w:t>
      </w:r>
    </w:p>
    <w:p>
      <w:pPr>
        <w:pStyle w:val="TextBody"/>
        <w:numPr>
          <w:ilvl w:val="0"/>
          <w:numId w:val="54"/>
        </w:numPr>
        <w:tabs>
          <w:tab w:val="clear" w:pos="708"/>
          <w:tab w:val="left" w:pos="0" w:leader="none"/>
        </w:tabs>
        <w:ind w:left="709" w:right="0" w:hanging="283"/>
        <w:rPr/>
      </w:pPr>
      <w:r>
        <w:rPr/>
        <w:t>Mesurez le temps nécessaire pour effectuer la restauration complète (c'est votre RTO réel).</w:t>
      </w:r>
    </w:p>
    <w:p>
      <w:pPr>
        <w:pStyle w:val="TextBody"/>
        <w:numPr>
          <w:ilvl w:val="0"/>
          <w:numId w:val="54"/>
        </w:numPr>
        <w:tabs>
          <w:tab w:val="clear" w:pos="708"/>
          <w:tab w:val="left" w:pos="0" w:leader="none"/>
        </w:tabs>
        <w:ind w:left="709" w:right="0" w:hanging="283"/>
        <w:rPr/>
      </w:pPr>
      <w:r>
        <w:rPr/>
        <w:t>Documentez précisément le résultat du test et toutes les observations.</w:t>
      </w:r>
    </w:p>
    <w:p>
      <w:pPr>
        <w:pStyle w:val="TextBody"/>
        <w:rPr/>
      </w:pPr>
      <w:r>
        <w:rPr>
          <w:rStyle w:val="StrongEmphasis"/>
        </w:rPr>
        <w:t>Vous devez documenter les résultats dans le registre des tests de restauration qui fait partie du document DOC-REF-02 :</w:t>
      </w:r>
    </w:p>
    <w:p>
      <w:pPr>
        <w:pStyle w:val="TextBody"/>
        <w:rPr/>
      </w:pPr>
      <w:r>
        <w:rPr/>
        <w:t>Notez la date exacte du test de restauration. Indiquez le résultat global du test (OK si tout fonctionne, KO si des problèmes ont été détectés). Mesurez et notez le temps total nécessaire pour effectuer la restauration. Documentez toutes les anomalies ou difficultés rencontrées pendant le test. Si des problèmes ont été identifiés, définissez et documentez les actions correctives qui seront mises en œuvre.</w:t>
      </w:r>
    </w:p>
    <w:p>
      <w:pPr>
        <w:pStyle w:val="TextBody"/>
        <w:rPr/>
      </w:pPr>
      <w:r>
        <w:rPr>
          <w:rStyle w:val="StrongEmphasis"/>
        </w:rPr>
        <w:t>Les points de validation pour cette étape sont :</w:t>
      </w:r>
    </w:p>
    <w:p>
      <w:pPr>
        <w:pStyle w:val="TextBody"/>
        <w:numPr>
          <w:ilvl w:val="0"/>
          <w:numId w:val="55"/>
        </w:numPr>
        <w:tabs>
          <w:tab w:val="clear" w:pos="708"/>
          <w:tab w:val="left" w:pos="0" w:leader="none"/>
        </w:tabs>
        <w:ind w:left="709" w:right="0" w:hanging="283"/>
        <w:rPr/>
      </w:pPr>
      <w:r>
        <w:rPr/>
        <w:t>Le test de restauration a été effectué dans les 7 jours suivant la mise en service.</w:t>
      </w:r>
    </w:p>
    <w:p>
      <w:pPr>
        <w:pStyle w:val="TextBody"/>
        <w:numPr>
          <w:ilvl w:val="0"/>
          <w:numId w:val="55"/>
        </w:numPr>
        <w:tabs>
          <w:tab w:val="clear" w:pos="708"/>
          <w:tab w:val="left" w:pos="0" w:leader="none"/>
        </w:tabs>
        <w:ind w:left="709" w:right="0" w:hanging="283"/>
        <w:rPr/>
      </w:pPr>
      <w:r>
        <w:rPr/>
        <w:t>Le résultat du test a été documenté dans le registre prévu à cet effet.</w:t>
      </w:r>
    </w:p>
    <w:p>
      <w:pPr>
        <w:pStyle w:val="TextBody"/>
        <w:numPr>
          <w:ilvl w:val="0"/>
          <w:numId w:val="55"/>
        </w:numPr>
        <w:tabs>
          <w:tab w:val="clear" w:pos="708"/>
          <w:tab w:val="left" w:pos="0" w:leader="none"/>
        </w:tabs>
        <w:ind w:left="709" w:right="0" w:hanging="283"/>
        <w:rPr/>
      </w:pPr>
      <w:r>
        <w:rPr/>
        <w:t>Si le test a révélé des problèmes, ceux-ci ont été corrigés et un nouveau test a été effectué avec succès.</w:t>
      </w:r>
    </w:p>
    <w:p>
      <w:pPr>
        <w:pStyle w:val="Heading2"/>
        <w:rPr/>
      </w:pPr>
      <w:bookmarkStart w:id="74" w:name="__RefHeading___Toc9239_2601441312"/>
      <w:bookmarkEnd w:id="74"/>
      <w:r>
        <w:rPr/>
        <w:t>Revue à 30 jours (J+30)</w:t>
      </w:r>
    </w:p>
    <w:p>
      <w:pPr>
        <w:pStyle w:val="TextBody"/>
        <w:rPr/>
      </w:pPr>
      <w:r>
        <w:rPr/>
        <w:t>À l'issue du premier mois d'exploitation, vous devez effectuer une revue complète du serveur pour faire un bilan et identifier les éventuels ajustements nécessaires.</w:t>
      </w:r>
    </w:p>
    <w:p>
      <w:pPr>
        <w:pStyle w:val="TextBody"/>
        <w:rPr/>
      </w:pPr>
      <w:r>
        <w:rPr>
          <w:rStyle w:val="StrongEmphasis"/>
        </w:rPr>
        <w:t>Les vérifications à effectuer lors de la revue à 30 jours sont les suivantes :</w:t>
      </w:r>
    </w:p>
    <w:p>
      <w:pPr>
        <w:pStyle w:val="TextBody"/>
        <w:numPr>
          <w:ilvl w:val="0"/>
          <w:numId w:val="56"/>
        </w:numPr>
        <w:tabs>
          <w:tab w:val="clear" w:pos="708"/>
          <w:tab w:val="left" w:pos="0" w:leader="none"/>
        </w:tabs>
        <w:ind w:left="709" w:right="0" w:hanging="283"/>
        <w:rPr/>
      </w:pPr>
      <w:r>
        <w:rPr/>
        <w:t>Vérifiez la stabilité générale du serveur en consultant l'uptime et le nombre d'incidents enregistrés.</w:t>
      </w:r>
    </w:p>
    <w:p>
      <w:pPr>
        <w:pStyle w:val="TextBody"/>
        <w:numPr>
          <w:ilvl w:val="0"/>
          <w:numId w:val="56"/>
        </w:numPr>
        <w:tabs>
          <w:tab w:val="clear" w:pos="708"/>
          <w:tab w:val="left" w:pos="0" w:leader="none"/>
        </w:tabs>
        <w:ind w:left="709" w:right="0" w:hanging="283"/>
        <w:rPr/>
      </w:pPr>
      <w:r>
        <w:rPr/>
        <w:t>Analysez les logs du mois écoulé pour identifier les incidents, les tentatives d'intrusion, et tout pattern anormal.</w:t>
      </w:r>
    </w:p>
    <w:p>
      <w:pPr>
        <w:pStyle w:val="TextBody"/>
        <w:numPr>
          <w:ilvl w:val="0"/>
          <w:numId w:val="56"/>
        </w:numPr>
        <w:tabs>
          <w:tab w:val="clear" w:pos="708"/>
          <w:tab w:val="left" w:pos="0" w:leader="none"/>
        </w:tabs>
        <w:ind w:left="709" w:right="0" w:hanging="283"/>
        <w:rPr/>
      </w:pPr>
      <w:r>
        <w:rPr/>
        <w:t>Vérifiez que le serveur est toujours conforme à la baseline de sécurité en ré-exécutant le script d'audit.</w:t>
      </w:r>
    </w:p>
    <w:p>
      <w:pPr>
        <w:pStyle w:val="TextBody"/>
        <w:numPr>
          <w:ilvl w:val="0"/>
          <w:numId w:val="56"/>
        </w:numPr>
        <w:tabs>
          <w:tab w:val="clear" w:pos="708"/>
          <w:tab w:val="left" w:pos="0" w:leader="none"/>
        </w:tabs>
        <w:ind w:left="709" w:right="0" w:hanging="283"/>
        <w:rPr/>
      </w:pPr>
      <w:r>
        <w:rPr/>
        <w:t>Si nécessaire, ajustez certains paramètres de configuration en fonction de l'expérience acquise pendant le premier mois.</w:t>
      </w:r>
    </w:p>
    <w:p>
      <w:pPr>
        <w:pStyle w:val="TextBody"/>
        <w:numPr>
          <w:ilvl w:val="0"/>
          <w:numId w:val="56"/>
        </w:numPr>
        <w:tabs>
          <w:tab w:val="clear" w:pos="708"/>
          <w:tab w:val="left" w:pos="0" w:leader="none"/>
        </w:tabs>
        <w:ind w:left="709" w:right="0" w:hanging="283"/>
        <w:rPr/>
      </w:pPr>
      <w:r>
        <w:rPr/>
        <w:t>Mettez à jour la documentation du serveur si des changements ont été effectués pendant le premier mois.</w:t>
      </w:r>
    </w:p>
    <w:p>
      <w:pPr>
        <w:pStyle w:val="TextBody"/>
        <w:numPr>
          <w:ilvl w:val="0"/>
          <w:numId w:val="56"/>
        </w:numPr>
        <w:tabs>
          <w:tab w:val="clear" w:pos="708"/>
          <w:tab w:val="left" w:pos="0" w:leader="none"/>
        </w:tabs>
        <w:ind w:left="709" w:right="0" w:hanging="283"/>
        <w:rPr/>
      </w:pPr>
      <w:r>
        <w:rPr/>
        <w:t>Collectez le feedback du propriétaire métier pour savoir si le serveur répond bien aux attentes.</w:t>
      </w:r>
    </w:p>
    <w:p>
      <w:pPr>
        <w:pStyle w:val="TextBody"/>
        <w:rPr/>
      </w:pPr>
      <w:r>
        <w:rPr>
          <w:rStyle w:val="StrongEmphasis"/>
        </w:rPr>
        <w:t>Vous devez créer un document de revue à 30 jours :</w:t>
      </w:r>
    </w:p>
    <w:p>
      <w:pPr>
        <w:pStyle w:val="TextBody"/>
        <w:numPr>
          <w:ilvl w:val="0"/>
          <w:numId w:val="57"/>
        </w:numPr>
        <w:tabs>
          <w:tab w:val="clear" w:pos="708"/>
          <w:tab w:val="left" w:pos="0" w:leader="none"/>
        </w:tabs>
        <w:ind w:left="709" w:right="0" w:hanging="283"/>
        <w:rPr/>
      </w:pPr>
      <w:r>
        <w:rPr/>
        <w:t>Créez un document nommé "Revue-30j-srv-[nom]-[date].md" dans le dossier de documentation du serveur.</w:t>
      </w:r>
    </w:p>
    <w:p>
      <w:pPr>
        <w:pStyle w:val="TextBody"/>
        <w:numPr>
          <w:ilvl w:val="0"/>
          <w:numId w:val="57"/>
        </w:numPr>
        <w:tabs>
          <w:tab w:val="clear" w:pos="708"/>
          <w:tab w:val="left" w:pos="0" w:leader="none"/>
        </w:tabs>
        <w:ind w:left="709" w:right="0" w:hanging="283"/>
        <w:rPr/>
      </w:pPr>
      <w:r>
        <w:rPr/>
        <w:t>Documentez tous les constats faits pendant cette revue.</w:t>
      </w:r>
    </w:p>
    <w:p>
      <w:pPr>
        <w:pStyle w:val="TextBody"/>
        <w:numPr>
          <w:ilvl w:val="0"/>
          <w:numId w:val="57"/>
        </w:numPr>
        <w:tabs>
          <w:tab w:val="clear" w:pos="708"/>
          <w:tab w:val="left" w:pos="0" w:leader="none"/>
        </w:tabs>
        <w:ind w:left="709" w:right="0" w:hanging="283"/>
        <w:rPr/>
      </w:pPr>
      <w:r>
        <w:rPr/>
        <w:t>Listez tous les ajustements qui ont été effectués ou qui sont recommandés.</w:t>
      </w:r>
    </w:p>
    <w:p>
      <w:pPr>
        <w:pStyle w:val="TextBody"/>
        <w:numPr>
          <w:ilvl w:val="0"/>
          <w:numId w:val="57"/>
        </w:numPr>
        <w:tabs>
          <w:tab w:val="clear" w:pos="708"/>
          <w:tab w:val="left" w:pos="0" w:leader="none"/>
        </w:tabs>
        <w:ind w:left="709" w:right="0" w:hanging="283"/>
        <w:rPr/>
      </w:pPr>
      <w:r>
        <w:rPr/>
        <w:t>Formulez des recommandations pour l'amélioration continue.</w:t>
      </w:r>
    </w:p>
    <w:p>
      <w:pPr>
        <w:pStyle w:val="TextBody"/>
        <w:numPr>
          <w:ilvl w:val="0"/>
          <w:numId w:val="57"/>
        </w:numPr>
        <w:tabs>
          <w:tab w:val="clear" w:pos="708"/>
          <w:tab w:val="left" w:pos="0" w:leader="none"/>
        </w:tabs>
        <w:ind w:left="709" w:right="0" w:hanging="283"/>
        <w:rPr/>
      </w:pPr>
      <w:r>
        <w:rPr/>
        <w:t>Archivez ce document dans le dossier de documentation du serveur.</w:t>
      </w:r>
    </w:p>
    <w:p>
      <w:pPr>
        <w:pStyle w:val="Heading1"/>
        <w:rPr/>
      </w:pPr>
      <w:bookmarkStart w:id="75" w:name="__RefHeading___Toc9241_2601441312"/>
      <w:bookmarkEnd w:id="75"/>
      <w:r>
        <w:rPr/>
        <w:t>MAINTENANCE CONTINUE</w:t>
      </w:r>
    </w:p>
    <w:p>
      <w:pPr>
        <w:pStyle w:val="Heading2"/>
        <w:rPr/>
      </w:pPr>
      <w:bookmarkStart w:id="76" w:name="__RefHeading___Toc9243_2601441312"/>
      <w:bookmarkEnd w:id="76"/>
      <w:r>
        <w:rPr/>
        <w:t>Actions de maintenance mensuelle</w:t>
      </w:r>
    </w:p>
    <w:p>
      <w:pPr>
        <w:pStyle w:val="TextBody"/>
        <w:rPr/>
      </w:pPr>
      <w:r>
        <w:rPr>
          <w:rStyle w:val="StrongEmphasis"/>
        </w:rPr>
        <w:t>Les actions de maintenance suivantes doivent être effectuées tous les mois</w:t>
      </w:r>
      <w:r>
        <w:rPr/>
        <w:t xml:space="preserve"> pour maintenir le serveur en bon état de fonctionnement et sécurisé.</w:t>
      </w:r>
    </w:p>
    <w:p>
      <w:pPr>
        <w:pStyle w:val="TextBody"/>
        <w:numPr>
          <w:ilvl w:val="0"/>
          <w:numId w:val="58"/>
        </w:numPr>
        <w:tabs>
          <w:tab w:val="clear" w:pos="708"/>
          <w:tab w:val="left" w:pos="0" w:leader="none"/>
        </w:tabs>
        <w:ind w:left="709" w:right="0" w:hanging="283"/>
        <w:rPr/>
      </w:pPr>
      <w:r>
        <w:rPr/>
        <w:t>Appliquez manuellement les mises à jour de paquets non-sécuritaires (les mises à jour de sécurité sont déjà appliquées automatiquement). Consultez le document DOC-REF-01 section [REF-MAJ-MANUEL] pour la procédure détaillée.</w:t>
      </w:r>
    </w:p>
    <w:p>
      <w:pPr>
        <w:pStyle w:val="TextBody"/>
        <w:numPr>
          <w:ilvl w:val="0"/>
          <w:numId w:val="58"/>
        </w:numPr>
        <w:tabs>
          <w:tab w:val="clear" w:pos="708"/>
          <w:tab w:val="left" w:pos="0" w:leader="none"/>
        </w:tabs>
        <w:ind w:left="709" w:right="0" w:hanging="283"/>
        <w:rPr/>
      </w:pPr>
      <w:r>
        <w:rPr/>
        <w:t xml:space="preserve">Vérifiez l'espace disque disponible en exécutant </w:t>
      </w:r>
      <w:r>
        <w:rPr>
          <w:rStyle w:val="SourceText"/>
        </w:rPr>
        <w:t>df -h</w:t>
      </w:r>
      <w:r>
        <w:rPr/>
        <w:t xml:space="preserve"> et libérez de l'espace si nécessaire.</w:t>
      </w:r>
    </w:p>
    <w:p>
      <w:pPr>
        <w:pStyle w:val="TextBody"/>
        <w:numPr>
          <w:ilvl w:val="0"/>
          <w:numId w:val="58"/>
        </w:numPr>
        <w:tabs>
          <w:tab w:val="clear" w:pos="708"/>
          <w:tab w:val="left" w:pos="0" w:leader="none"/>
        </w:tabs>
        <w:ind w:left="709" w:right="0" w:hanging="283"/>
        <w:rPr/>
      </w:pPr>
      <w:r>
        <w:rPr/>
        <w:t>Consultez les logs pour rechercher des anomalies ou des patterns inhabituels qui pourraient indiquer un problème.</w:t>
      </w:r>
    </w:p>
    <w:p>
      <w:pPr>
        <w:pStyle w:val="TextBody"/>
        <w:numPr>
          <w:ilvl w:val="0"/>
          <w:numId w:val="58"/>
        </w:numPr>
        <w:tabs>
          <w:tab w:val="clear" w:pos="708"/>
          <w:tab w:val="left" w:pos="0" w:leader="none"/>
        </w:tabs>
        <w:ind w:left="709" w:right="0" w:hanging="283"/>
        <w:rPr/>
      </w:pPr>
      <w:r>
        <w:rPr/>
        <w:t>Vérifiez que toutes les sauvegardes programmées se sont bien exécutées avec succès.</w:t>
      </w:r>
    </w:p>
    <w:p>
      <w:pPr>
        <w:pStyle w:val="TextBody"/>
        <w:numPr>
          <w:ilvl w:val="0"/>
          <w:numId w:val="58"/>
        </w:numPr>
        <w:tabs>
          <w:tab w:val="clear" w:pos="708"/>
          <w:tab w:val="left" w:pos="0" w:leader="none"/>
        </w:tabs>
        <w:ind w:left="709" w:right="0" w:hanging="283"/>
        <w:rPr/>
      </w:pPr>
      <w:r>
        <w:rPr/>
        <w:t>Mettez à jour le registre DOC-OPS-01 si des changements ont été apportés au serveur pendant le mois.</w:t>
      </w:r>
    </w:p>
    <w:p>
      <w:pPr>
        <w:pStyle w:val="Heading2"/>
        <w:rPr/>
      </w:pPr>
      <w:bookmarkStart w:id="77" w:name="__RefHeading___Toc9245_2601441312"/>
      <w:bookmarkEnd w:id="77"/>
      <w:r>
        <w:rPr/>
        <w:t>Actions de maintenance trimestrielle</w:t>
      </w:r>
    </w:p>
    <w:p>
      <w:pPr>
        <w:pStyle w:val="TextBody"/>
        <w:rPr/>
      </w:pPr>
      <w:r>
        <w:rPr>
          <w:rStyle w:val="StrongEmphasis"/>
        </w:rPr>
        <w:t>Les actions de maintenance suivantes doivent être effectuées tous les 3 mois :</w:t>
      </w:r>
    </w:p>
    <w:p>
      <w:pPr>
        <w:pStyle w:val="TextBody"/>
        <w:numPr>
          <w:ilvl w:val="0"/>
          <w:numId w:val="59"/>
        </w:numPr>
        <w:tabs>
          <w:tab w:val="clear" w:pos="708"/>
          <w:tab w:val="left" w:pos="0" w:leader="none"/>
        </w:tabs>
        <w:ind w:left="709" w:right="0" w:hanging="283"/>
        <w:rPr/>
      </w:pPr>
      <w:r>
        <w:rPr/>
        <w:t>Exécutez un audit complet de conformité à la baseline de sécurité en utilisant le script fourni dans DOC-REF-01 Annexe D.</w:t>
      </w:r>
    </w:p>
    <w:p>
      <w:pPr>
        <w:pStyle w:val="TextBody"/>
        <w:numPr>
          <w:ilvl w:val="0"/>
          <w:numId w:val="59"/>
        </w:numPr>
        <w:tabs>
          <w:tab w:val="clear" w:pos="708"/>
          <w:tab w:val="left" w:pos="0" w:leader="none"/>
        </w:tabs>
        <w:ind w:left="709" w:right="0" w:hanging="283"/>
        <w:rPr/>
      </w:pPr>
      <w:r>
        <w:rPr/>
        <w:t>Révisez la liste des utilisateurs ayant accès au serveur et vérifiez que tous les accès sont toujours justifiés et nécessaires.</w:t>
      </w:r>
    </w:p>
    <w:p>
      <w:pPr>
        <w:pStyle w:val="TextBody"/>
        <w:numPr>
          <w:ilvl w:val="0"/>
          <w:numId w:val="59"/>
        </w:numPr>
        <w:tabs>
          <w:tab w:val="clear" w:pos="708"/>
          <w:tab w:val="left" w:pos="0" w:leader="none"/>
        </w:tabs>
        <w:ind w:left="709" w:right="0" w:hanging="283"/>
        <w:rPr/>
      </w:pPr>
      <w:r>
        <w:rPr/>
        <w:t>Effectuez un test complet de restauration d'une sauvegarde pour vérifier que le système de backup fonctionne.</w:t>
      </w:r>
    </w:p>
    <w:p>
      <w:pPr>
        <w:pStyle w:val="TextBody"/>
        <w:numPr>
          <w:ilvl w:val="0"/>
          <w:numId w:val="59"/>
        </w:numPr>
        <w:tabs>
          <w:tab w:val="clear" w:pos="708"/>
          <w:tab w:val="left" w:pos="0" w:leader="none"/>
        </w:tabs>
        <w:ind w:left="709" w:right="0" w:hanging="283"/>
        <w:rPr/>
      </w:pPr>
      <w:r>
        <w:rPr/>
        <w:t>Si le serveur héberge des sites web avec HTTPS, vérifiez la validité et la date d'expiration des certificats SSL/TLS.</w:t>
      </w:r>
    </w:p>
    <w:p>
      <w:pPr>
        <w:pStyle w:val="TextBody"/>
        <w:numPr>
          <w:ilvl w:val="0"/>
          <w:numId w:val="59"/>
        </w:numPr>
        <w:tabs>
          <w:tab w:val="clear" w:pos="708"/>
          <w:tab w:val="left" w:pos="0" w:leader="none"/>
        </w:tabs>
        <w:ind w:left="709" w:right="0" w:hanging="283"/>
        <w:rPr/>
      </w:pPr>
      <w:r>
        <w:rPr/>
        <w:t>Passez en revue la documentation technique du serveur et mettez-la à jour si nécessaire.</w:t>
      </w:r>
    </w:p>
    <w:p>
      <w:pPr>
        <w:pStyle w:val="Heading2"/>
        <w:rPr/>
      </w:pPr>
      <w:bookmarkStart w:id="78" w:name="__RefHeading___Toc9247_2601441312"/>
      <w:bookmarkEnd w:id="78"/>
      <w:r>
        <w:rPr/>
        <w:t>Actions de maintenance semestrielle</w:t>
      </w:r>
    </w:p>
    <w:p>
      <w:pPr>
        <w:pStyle w:val="TextBody"/>
        <w:rPr/>
      </w:pPr>
      <w:r>
        <w:rPr>
          <w:rStyle w:val="StrongEmphasis"/>
        </w:rPr>
        <w:t>Les actions de maintenance suivantes doivent être effectuées tous les 6 mois :</w:t>
      </w:r>
    </w:p>
    <w:p>
      <w:pPr>
        <w:pStyle w:val="TextBody"/>
        <w:numPr>
          <w:ilvl w:val="0"/>
          <w:numId w:val="60"/>
        </w:numPr>
        <w:tabs>
          <w:tab w:val="clear" w:pos="708"/>
          <w:tab w:val="left" w:pos="0" w:leader="none"/>
        </w:tabs>
        <w:ind w:left="709" w:right="0" w:hanging="283"/>
        <w:rPr/>
      </w:pPr>
      <w:r>
        <w:rPr/>
        <w:t>Effectuez une revue complète de sécurité incluant un scan de vulnérabilités et une vérification approfondie de toutes les configurations.</w:t>
      </w:r>
    </w:p>
    <w:p>
      <w:pPr>
        <w:pStyle w:val="TextBody"/>
        <w:numPr>
          <w:ilvl w:val="0"/>
          <w:numId w:val="60"/>
        </w:numPr>
        <w:tabs>
          <w:tab w:val="clear" w:pos="708"/>
          <w:tab w:val="left" w:pos="0" w:leader="none"/>
        </w:tabs>
        <w:ind w:left="709" w:right="0" w:hanging="283"/>
        <w:rPr/>
      </w:pPr>
      <w:r>
        <w:rPr/>
        <w:t>Envisagez une rotation des clés SSH (recommandé pour renforcer la sécurité, bien que non obligatoire).</w:t>
      </w:r>
    </w:p>
    <w:p>
      <w:pPr>
        <w:pStyle w:val="TextBody"/>
        <w:numPr>
          <w:ilvl w:val="0"/>
          <w:numId w:val="60"/>
        </w:numPr>
        <w:tabs>
          <w:tab w:val="clear" w:pos="708"/>
          <w:tab w:val="left" w:pos="0" w:leader="none"/>
        </w:tabs>
        <w:ind w:left="709" w:right="0" w:hanging="283"/>
        <w:rPr/>
      </w:pPr>
      <w:r>
        <w:rPr/>
        <w:t>Révisez toutes les règles du pare-feu pour vérifier qu'elles sont toujours pertinentes et qu'aucune règle inutile ne reste active.</w:t>
      </w:r>
    </w:p>
    <w:p>
      <w:pPr>
        <w:pStyle w:val="TextBody"/>
        <w:numPr>
          <w:ilvl w:val="0"/>
          <w:numId w:val="60"/>
        </w:numPr>
        <w:tabs>
          <w:tab w:val="clear" w:pos="708"/>
          <w:tab w:val="left" w:pos="0" w:leader="none"/>
        </w:tabs>
        <w:ind w:left="709" w:right="0" w:hanging="283"/>
        <w:rPr/>
      </w:pPr>
      <w:r>
        <w:rPr/>
        <w:t>Si le serveur traite des données personnelles, vérifiez la conformité continue aux exigences APDP.</w:t>
      </w:r>
    </w:p>
    <w:p>
      <w:pPr>
        <w:pStyle w:val="TextBody"/>
        <w:numPr>
          <w:ilvl w:val="0"/>
          <w:numId w:val="60"/>
        </w:numPr>
        <w:tabs>
          <w:tab w:val="clear" w:pos="708"/>
          <w:tab w:val="left" w:pos="0" w:leader="none"/>
        </w:tabs>
        <w:ind w:left="709" w:right="0" w:hanging="283"/>
        <w:rPr/>
      </w:pPr>
      <w:r>
        <w:rPr/>
        <w:t>Effectuez une mise à jour complète de la fiche technique du serveur avec toutes les modifications accumulées.</w:t>
      </w:r>
    </w:p>
    <w:p>
      <w:pPr>
        <w:pStyle w:val="Heading2"/>
        <w:rPr/>
      </w:pPr>
      <w:bookmarkStart w:id="79" w:name="__RefHeading___Toc9249_2601441312"/>
      <w:bookmarkEnd w:id="79"/>
      <w:r>
        <w:rPr/>
        <w:t>Actions de maintenance annuelle</w:t>
      </w:r>
    </w:p>
    <w:p>
      <w:pPr>
        <w:pStyle w:val="TextBody"/>
        <w:rPr/>
      </w:pPr>
      <w:r>
        <w:rPr>
          <w:rStyle w:val="StrongEmphasis"/>
        </w:rPr>
        <w:t>Les actions de maintenance suivantes doivent être effectuées une fois par an :</w:t>
      </w:r>
    </w:p>
    <w:p>
      <w:pPr>
        <w:pStyle w:val="TextBody"/>
        <w:numPr>
          <w:ilvl w:val="0"/>
          <w:numId w:val="61"/>
        </w:numPr>
        <w:tabs>
          <w:tab w:val="clear" w:pos="708"/>
          <w:tab w:val="left" w:pos="0" w:leader="none"/>
        </w:tabs>
        <w:ind w:left="709" w:right="0" w:hanging="283"/>
        <w:rPr/>
      </w:pPr>
      <w:r>
        <w:rPr/>
        <w:t>Évaluez l'opportunité de renouveler l'offre d'hébergement ou de migrer vers une offre plus adaptée aux besoins actuels.</w:t>
      </w:r>
    </w:p>
    <w:p>
      <w:pPr>
        <w:pStyle w:val="TextBody"/>
        <w:numPr>
          <w:ilvl w:val="0"/>
          <w:numId w:val="61"/>
        </w:numPr>
        <w:tabs>
          <w:tab w:val="clear" w:pos="708"/>
          <w:tab w:val="left" w:pos="0" w:leader="none"/>
        </w:tabs>
        <w:ind w:left="709" w:right="0" w:hanging="283"/>
        <w:rPr/>
      </w:pPr>
      <w:r>
        <w:rPr/>
        <w:t>Effectuez une revue budgétaire complète incluant les coûts d'hébergement, de backup, et de bande passante.</w:t>
      </w:r>
    </w:p>
    <w:p>
      <w:pPr>
        <w:pStyle w:val="TextBody"/>
        <w:numPr>
          <w:ilvl w:val="0"/>
          <w:numId w:val="61"/>
        </w:numPr>
        <w:tabs>
          <w:tab w:val="clear" w:pos="708"/>
          <w:tab w:val="left" w:pos="0" w:leader="none"/>
        </w:tabs>
        <w:ind w:left="709" w:right="0" w:hanging="283"/>
        <w:rPr/>
      </w:pPr>
      <w:r>
        <w:rPr/>
        <w:t>Validez avec le propriétaire métier que le serveur est toujours nécessaire et répond toujours aux besoins de l'entreprise.</w:t>
      </w:r>
    </w:p>
    <w:p>
      <w:pPr>
        <w:pStyle w:val="TextBody"/>
        <w:numPr>
          <w:ilvl w:val="0"/>
          <w:numId w:val="61"/>
        </w:numPr>
        <w:tabs>
          <w:tab w:val="clear" w:pos="708"/>
          <w:tab w:val="left" w:pos="0" w:leader="none"/>
        </w:tabs>
        <w:ind w:left="709" w:right="0" w:hanging="283"/>
        <w:rPr/>
      </w:pPr>
      <w:r>
        <w:rPr/>
        <w:t>Si la version LTS d'Ubuntu installée approche de sa fin de support, planifiez une mise à jour majeure vers la nouvelle version LTS.</w:t>
      </w:r>
    </w:p>
    <w:p>
      <w:pPr>
        <w:pStyle w:val="TextBody"/>
        <w:numPr>
          <w:ilvl w:val="0"/>
          <w:numId w:val="61"/>
        </w:numPr>
        <w:tabs>
          <w:tab w:val="clear" w:pos="708"/>
          <w:tab w:val="left" w:pos="0" w:leader="none"/>
        </w:tabs>
        <w:ind w:left="709" w:right="0" w:hanging="283"/>
        <w:rPr/>
      </w:pPr>
      <w:r>
        <w:rPr/>
        <w:t>Archivez toute la documentation de l'année écoulée (N-1) pour conserver un historique complet.</w:t>
      </w:r>
    </w:p>
    <w:p>
      <w:pPr>
        <w:pStyle w:val="Heading1"/>
        <w:rPr/>
      </w:pPr>
      <w:bookmarkStart w:id="80" w:name="__RefHeading___Toc9251_2601441312"/>
      <w:bookmarkEnd w:id="80"/>
      <w:r>
        <w:rPr/>
        <w:t>GESTION DES INCIDENTS ET SUPPORT</w:t>
      </w:r>
    </w:p>
    <w:p>
      <w:pPr>
        <w:pStyle w:val="Heading2"/>
        <w:rPr/>
      </w:pPr>
      <w:bookmarkStart w:id="81" w:name="__RefHeading___Toc9253_2601441312"/>
      <w:bookmarkEnd w:id="81"/>
      <w:r>
        <w:rPr/>
        <w:t>Procédure en cas de problème</w:t>
      </w:r>
    </w:p>
    <w:p>
      <w:pPr>
        <w:pStyle w:val="TextBody"/>
        <w:rPr/>
      </w:pPr>
      <w:r>
        <w:rPr/>
        <w:t>Si vous détectez un incident de sécurité sur ce serveur (tentative d'intrusion réussie, compromission suspectée, comportement anormal, etc.), vous devez impérativement suivre la procédure formelle de gestion des incidents qui est décrite dans le document PROC-02 (Gestion des Incidents de Sécurité).</w:t>
      </w:r>
    </w:p>
    <w:p>
      <w:pPr>
        <w:pStyle w:val="TextBody"/>
        <w:rPr/>
      </w:pPr>
      <w:r>
        <w:rPr>
          <w:rStyle w:val="StrongEmphasis"/>
        </w:rPr>
        <w:t>Si l'incident implique une violation de données personnelles</w:t>
      </w:r>
      <w:r>
        <w:rPr/>
        <w:t xml:space="preserve"> (accès non autorisé à des données personnelles, fuite de données, destruction accidentelle de données, etc.), vous devez également suivre la procédure PROC-03 qui décrit les obligations de notification à l'APDP. Selon la loi, certaines violations doivent être notifiées à l'APDP dans un délai de 72 heures maximum.</w:t>
      </w:r>
    </w:p>
    <w:p>
      <w:pPr>
        <w:pStyle w:val="TextBody"/>
        <w:rPr/>
      </w:pPr>
      <w:r>
        <w:rPr>
          <w:rStyle w:val="StrongEmphasis"/>
        </w:rPr>
        <w:t>Les contacts pour obtenir du support technique sont les suivants :</w:t>
      </w:r>
    </w:p>
    <w:p>
      <w:pPr>
        <w:pStyle w:val="TextBody"/>
        <w:rPr/>
      </w:pPr>
      <w:r>
        <w:rPr/>
        <w:t>Pour les problèmes techniques généraux concernant l'infrastructure, contactez le Responsable des Systèmes d'Information à l'adresse email [Votre email] et au numéro de téléphone [Téléphone]. Pour les problèmes liés à l'hébergement OVH (panne matérielle, problème réseau, etc.), créez un ticket de support via l'interface OVH Manager accessible à https://www.ovh.com/manager/. Pour les questions relatives à la conformité APDP ou en cas de violation de données personnelles, contactez l'Autorité de Protection des Données à caractère Personnel du Bénin à l'adresse contact@apdp.bj.</w:t>
      </w:r>
    </w:p>
    <w:p>
      <w:pPr>
        <w:pStyle w:val="Heading2"/>
        <w:rPr/>
      </w:pPr>
      <w:bookmarkStart w:id="82" w:name="__RefHeading___Toc9255_2601441312"/>
      <w:bookmarkEnd w:id="82"/>
      <w:r>
        <w:rPr/>
        <w:t>Niveaux d'escalade des incidents</w:t>
      </w:r>
    </w:p>
    <w:p>
      <w:pPr>
        <w:pStyle w:val="TextBody"/>
        <w:rPr/>
      </w:pPr>
      <w:r>
        <w:rPr/>
        <w:t>Selon la gravité de l'incident, différents niveaux d'escalade s'appliquent avec des délais de réaction différents.</w:t>
      </w:r>
    </w:p>
    <w:tbl>
      <w:tblPr>
        <w:tblW w:w="5000" w:type="pct"/>
        <w:jc w:val="left"/>
        <w:tblInd w:w="-5" w:type="dxa"/>
        <w:tblLayout w:type="fixed"/>
        <w:tblCellMar>
          <w:top w:w="55" w:type="dxa"/>
          <w:left w:w="55" w:type="dxa"/>
          <w:bottom w:w="55" w:type="dxa"/>
          <w:right w:w="55" w:type="dxa"/>
        </w:tblCellMar>
      </w:tblPr>
      <w:tblGrid>
        <w:gridCol w:w="1349"/>
        <w:gridCol w:w="3775"/>
        <w:gridCol w:w="2164"/>
        <w:gridCol w:w="1784"/>
      </w:tblGrid>
      <w:tr>
        <w:trPr/>
        <w:tc>
          <w:tcPr>
            <w:tcW w:w="1349"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b/>
                <w:b/>
                <w:bCs/>
                <w:color w:val="014276"/>
                <w:kern w:val="0"/>
                <w:sz w:val="24"/>
                <w:szCs w:val="24"/>
                <w:lang w:val="fr-FR" w:eastAsia="en-US" w:bidi="ar-SA"/>
              </w:rPr>
            </w:pPr>
            <w:r>
              <w:rPr>
                <w:b/>
                <w:bCs/>
                <w:color w:val="014276"/>
                <w:kern w:val="0"/>
                <w:sz w:val="24"/>
                <w:szCs w:val="24"/>
                <w:lang w:val="fr-FR" w:eastAsia="en-US" w:bidi="ar-SA"/>
              </w:rPr>
              <w:t>Niveau d'escalade</w:t>
            </w:r>
          </w:p>
        </w:tc>
        <w:tc>
          <w:tcPr>
            <w:tcW w:w="3775"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b/>
                <w:b/>
                <w:bCs/>
                <w:color w:val="014276"/>
                <w:kern w:val="0"/>
                <w:sz w:val="24"/>
                <w:szCs w:val="24"/>
                <w:lang w:val="fr-FR" w:eastAsia="en-US" w:bidi="ar-SA"/>
              </w:rPr>
            </w:pPr>
            <w:r>
              <w:rPr>
                <w:b/>
                <w:bCs/>
                <w:color w:val="014276"/>
                <w:kern w:val="0"/>
                <w:sz w:val="24"/>
                <w:szCs w:val="24"/>
                <w:lang w:val="fr-FR" w:eastAsia="en-US" w:bidi="ar-SA"/>
              </w:rPr>
              <w:t>Déclencheur de l'escalade</w:t>
            </w:r>
          </w:p>
        </w:tc>
        <w:tc>
          <w:tcPr>
            <w:tcW w:w="2164"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b/>
                <w:b/>
                <w:bCs/>
                <w:color w:val="014276"/>
                <w:kern w:val="0"/>
                <w:sz w:val="24"/>
                <w:szCs w:val="24"/>
                <w:lang w:val="fr-FR" w:eastAsia="en-US" w:bidi="ar-SA"/>
              </w:rPr>
            </w:pPr>
            <w:r>
              <w:rPr>
                <w:b/>
                <w:bCs/>
                <w:color w:val="014276"/>
                <w:kern w:val="0"/>
                <w:sz w:val="24"/>
                <w:szCs w:val="24"/>
                <w:lang w:val="fr-FR" w:eastAsia="en-US" w:bidi="ar-SA"/>
              </w:rPr>
              <w:t>Personnes impliquées</w:t>
            </w:r>
          </w:p>
        </w:tc>
        <w:tc>
          <w:tcPr>
            <w:tcW w:w="1784"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b/>
                <w:b/>
                <w:bCs/>
                <w:color w:val="014276"/>
                <w:kern w:val="0"/>
                <w:sz w:val="24"/>
                <w:szCs w:val="24"/>
                <w:lang w:val="fr-FR" w:eastAsia="en-US" w:bidi="ar-SA"/>
              </w:rPr>
            </w:pPr>
            <w:r>
              <w:rPr>
                <w:b/>
                <w:bCs/>
                <w:color w:val="014276"/>
                <w:kern w:val="0"/>
                <w:sz w:val="24"/>
                <w:szCs w:val="24"/>
                <w:lang w:val="fr-FR" w:eastAsia="en-US" w:bidi="ar-SA"/>
              </w:rPr>
              <w:t>Délai de réaction</w:t>
            </w:r>
          </w:p>
        </w:tc>
      </w:tr>
      <w:tr>
        <w:trPr/>
        <w:tc>
          <w:tcPr>
            <w:tcW w:w="134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Niveau 1</w:t>
            </w:r>
          </w:p>
        </w:tc>
        <w:tc>
          <w:tcPr>
            <w:tcW w:w="3775" w:type="dxa"/>
            <w:tcBorders>
              <w:left w:val="single" w:sz="4" w:space="0" w:color="000000"/>
              <w:bottom w:val="single" w:sz="4" w:space="0" w:color="000000"/>
            </w:tcBorders>
          </w:tcPr>
          <w:p>
            <w:pPr>
              <w:pStyle w:val="TableContents"/>
              <w:widowControl w:val="false"/>
              <w:suppressLineNumbers/>
              <w:spacing w:before="240" w:after="240"/>
              <w:rPr/>
            </w:pPr>
            <w:r>
              <w:rPr/>
              <w:t>Incident mineur sans impact sur les utilisateurs (exemple : service non critique temporairement ralenti)</w:t>
            </w:r>
          </w:p>
        </w:tc>
        <w:tc>
          <w:tcPr>
            <w:tcW w:w="2164" w:type="dxa"/>
            <w:tcBorders>
              <w:left w:val="single" w:sz="4" w:space="0" w:color="000000"/>
              <w:bottom w:val="single" w:sz="4" w:space="0" w:color="000000"/>
            </w:tcBorders>
          </w:tcPr>
          <w:p>
            <w:pPr>
              <w:pStyle w:val="TableContents"/>
              <w:widowControl w:val="false"/>
              <w:suppressLineNumbers/>
              <w:spacing w:before="240" w:after="240"/>
              <w:rPr/>
            </w:pPr>
            <w:r>
              <w:rPr/>
              <w:t>Vous-même uniquement</w:t>
            </w:r>
          </w:p>
        </w:tc>
        <w:tc>
          <w:tcPr>
            <w:tcW w:w="178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Best effort (résolution dès que possible)</w:t>
            </w:r>
          </w:p>
        </w:tc>
      </w:tr>
      <w:tr>
        <w:trPr/>
        <w:tc>
          <w:tcPr>
            <w:tcW w:w="134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Niveau 2</w:t>
            </w:r>
          </w:p>
        </w:tc>
        <w:tc>
          <w:tcPr>
            <w:tcW w:w="3775" w:type="dxa"/>
            <w:tcBorders>
              <w:left w:val="single" w:sz="4" w:space="0" w:color="000000"/>
              <w:bottom w:val="single" w:sz="4" w:space="0" w:color="000000"/>
            </w:tcBorders>
          </w:tcPr>
          <w:p>
            <w:pPr>
              <w:pStyle w:val="TableContents"/>
              <w:widowControl w:val="false"/>
              <w:suppressLineNumbers/>
              <w:spacing w:before="240" w:after="240"/>
              <w:rPr/>
            </w:pPr>
            <w:r>
              <w:rPr/>
              <w:t>Incident majeur avec impact sur les utilisateurs (exemple : service critique indisponible, problème de performance sévère)</w:t>
            </w:r>
          </w:p>
        </w:tc>
        <w:tc>
          <w:tcPr>
            <w:tcW w:w="2164" w:type="dxa"/>
            <w:tcBorders>
              <w:left w:val="single" w:sz="4" w:space="0" w:color="000000"/>
              <w:bottom w:val="single" w:sz="4" w:space="0" w:color="000000"/>
            </w:tcBorders>
          </w:tcPr>
          <w:p>
            <w:pPr>
              <w:pStyle w:val="TableContents"/>
              <w:widowControl w:val="false"/>
              <w:suppressLineNumbers/>
              <w:spacing w:before="240" w:after="240"/>
              <w:rPr/>
            </w:pPr>
            <w:r>
              <w:rPr/>
              <w:t>Vous-même + backup technique + propriétaire métier</w:t>
            </w:r>
          </w:p>
        </w:tc>
        <w:tc>
          <w:tcPr>
            <w:tcW w:w="178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Moins de 2 heures</w:t>
            </w:r>
          </w:p>
        </w:tc>
      </w:tr>
      <w:tr>
        <w:trPr/>
        <w:tc>
          <w:tcPr>
            <w:tcW w:w="134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Niveau 3</w:t>
            </w:r>
          </w:p>
        </w:tc>
        <w:tc>
          <w:tcPr>
            <w:tcW w:w="3775" w:type="dxa"/>
            <w:tcBorders>
              <w:left w:val="single" w:sz="4" w:space="0" w:color="000000"/>
              <w:bottom w:val="single" w:sz="4" w:space="0" w:color="000000"/>
            </w:tcBorders>
          </w:tcPr>
          <w:p>
            <w:pPr>
              <w:pStyle w:val="TableContents"/>
              <w:widowControl w:val="false"/>
              <w:suppressLineNumbers/>
              <w:spacing w:before="240" w:after="240"/>
              <w:rPr/>
            </w:pPr>
            <w:r>
              <w:rPr/>
              <w:t>Incident critique ou violation de données personnelles (exemple : intrusion confirmée, fuite de données, destruction de données)</w:t>
            </w:r>
          </w:p>
        </w:tc>
        <w:tc>
          <w:tcPr>
            <w:tcW w:w="2164" w:type="dxa"/>
            <w:tcBorders>
              <w:left w:val="single" w:sz="4" w:space="0" w:color="000000"/>
              <w:bottom w:val="single" w:sz="4" w:space="0" w:color="000000"/>
            </w:tcBorders>
          </w:tcPr>
          <w:p>
            <w:pPr>
              <w:pStyle w:val="TableContents"/>
              <w:widowControl w:val="false"/>
              <w:suppressLineNumbers/>
              <w:spacing w:before="240" w:after="240"/>
              <w:rPr/>
            </w:pPr>
            <w:r>
              <w:rPr/>
              <w:t>Vous-même + Direction + APDP</w:t>
            </w:r>
          </w:p>
        </w:tc>
        <w:tc>
          <w:tcPr>
            <w:tcW w:w="178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Moins de 30 minutes</w:t>
            </w:r>
          </w:p>
        </w:tc>
      </w:tr>
    </w:tbl>
    <w:p>
      <w:pPr>
        <w:pStyle w:val="TextBody"/>
        <w:rPr>
          <w:rFonts w:cs="Times New Roman"/>
          <w:szCs w:val="24"/>
        </w:rPr>
      </w:pPr>
      <w:r>
        <w:rPr>
          <w:rFonts w:cs="Times New Roman"/>
          <w:szCs w:val="24"/>
        </w:rPr>
      </w:r>
    </w:p>
    <w:p>
      <w:pPr>
        <w:pStyle w:val="Heading1"/>
        <w:rPr/>
      </w:pPr>
      <w:bookmarkStart w:id="83" w:name="__RefHeading___Toc9257_2601441312"/>
      <w:bookmarkEnd w:id="83"/>
      <w:r>
        <w:rPr/>
        <w:t>DÉCOMMISSIONNEMENT DU SERVEUR (FIN DE VIE)</w:t>
      </w:r>
    </w:p>
    <w:p>
      <w:pPr>
        <w:pStyle w:val="TextBody"/>
        <w:rPr/>
      </w:pPr>
      <w:r>
        <w:rPr/>
        <w:t>Lorsqu'un serveur n'est plus nécessaire et doit être retiré de production, vous devez suivre une procédure stricte de décommissionnement sécurisé pour garantir que toutes les données sont correctement détruites et que toutes les obligations légales sont respectées.</w:t>
      </w:r>
    </w:p>
    <w:p>
      <w:pPr>
        <w:pStyle w:val="TextBody"/>
        <w:rPr/>
      </w:pPr>
      <w:r>
        <w:rPr>
          <w:rStyle w:val="StrongEmphasis"/>
        </w:rPr>
        <w:t>Pour la procédure complète de décommissionnement sécurisé, consultez le document dédié "Procédure de Décommissionnement Sécurisé".</w:t>
      </w:r>
    </w:p>
    <w:p>
      <w:pPr>
        <w:pStyle w:val="TextBody"/>
        <w:rPr/>
      </w:pPr>
      <w:r>
        <w:rPr>
          <w:rStyle w:val="StrongEmphasis"/>
        </w:rPr>
        <w:t>Les points clés essentiels du processus de décommissionnement sont les suivants :</w:t>
      </w:r>
    </w:p>
    <w:p>
      <w:pPr>
        <w:pStyle w:val="TextBody"/>
        <w:numPr>
          <w:ilvl w:val="0"/>
          <w:numId w:val="62"/>
        </w:numPr>
        <w:tabs>
          <w:tab w:val="clear" w:pos="708"/>
          <w:tab w:val="left" w:pos="0" w:leader="none"/>
        </w:tabs>
        <w:ind w:left="709" w:right="0" w:hanging="283"/>
        <w:rPr/>
      </w:pPr>
      <w:r>
        <w:rPr/>
        <w:t>La décision de décommissionner le serveur doit être validée formellement par le propriétaire métier et par vous-même.</w:t>
      </w:r>
    </w:p>
    <w:p>
      <w:pPr>
        <w:pStyle w:val="TextBody"/>
        <w:numPr>
          <w:ilvl w:val="0"/>
          <w:numId w:val="62"/>
        </w:numPr>
        <w:tabs>
          <w:tab w:val="clear" w:pos="708"/>
          <w:tab w:val="left" w:pos="0" w:leader="none"/>
        </w:tabs>
        <w:ind w:left="709" w:right="0" w:hanging="283"/>
        <w:rPr/>
      </w:pPr>
      <w:r>
        <w:rPr/>
        <w:t>Avant de supprimer le serveur, vous devez effectuer une sauvegarde finale complète. Si le serveur contient des données personnelles, cette sauvegarde doit être conservée pendant la durée légale de conservation requise par la réglementation.</w:t>
      </w:r>
    </w:p>
    <w:p>
      <w:pPr>
        <w:pStyle w:val="TextBody"/>
        <w:numPr>
          <w:ilvl w:val="0"/>
          <w:numId w:val="62"/>
        </w:numPr>
        <w:tabs>
          <w:tab w:val="clear" w:pos="708"/>
          <w:tab w:val="left" w:pos="0" w:leader="none"/>
        </w:tabs>
        <w:ind w:left="709" w:right="0" w:hanging="283"/>
        <w:rPr/>
      </w:pPr>
      <w:r>
        <w:rPr>
          <w:rStyle w:val="StrongEmphasis"/>
        </w:rPr>
        <w:t>La destruction sécurisée des données est absolument critique.</w:t>
      </w:r>
      <w:r>
        <w:rPr/>
        <w:t xml:space="preserve"> Vous devez utiliser des outils comme </w:t>
      </w:r>
      <w:r>
        <w:rPr>
          <w:rStyle w:val="SourceText"/>
        </w:rPr>
        <w:t>shred</w:t>
      </w:r>
      <w:r>
        <w:rPr/>
        <w:t xml:space="preserve"> pour écraser les données de manière irrécupérable. Une simple suppression de fichiers n'est PAS suffisante car les données restent techniquement récupérables.</w:t>
      </w:r>
    </w:p>
    <w:p>
      <w:pPr>
        <w:pStyle w:val="TextBody"/>
        <w:numPr>
          <w:ilvl w:val="0"/>
          <w:numId w:val="62"/>
        </w:numPr>
        <w:tabs>
          <w:tab w:val="clear" w:pos="708"/>
          <w:tab w:val="left" w:pos="0" w:leader="none"/>
        </w:tabs>
        <w:ind w:left="709" w:right="0" w:hanging="283"/>
        <w:rPr/>
      </w:pPr>
      <w:r>
        <w:rPr/>
        <w:t>Tous les snapshots et sauvegardes du serveur chez OVH doivent être supprimés.</w:t>
      </w:r>
    </w:p>
    <w:p>
      <w:pPr>
        <w:pStyle w:val="TextBody"/>
        <w:numPr>
          <w:ilvl w:val="0"/>
          <w:numId w:val="62"/>
        </w:numPr>
        <w:tabs>
          <w:tab w:val="clear" w:pos="708"/>
          <w:tab w:val="left" w:pos="0" w:leader="none"/>
        </w:tabs>
        <w:ind w:left="709" w:right="0" w:hanging="283"/>
        <w:rPr/>
      </w:pPr>
      <w:r>
        <w:rPr/>
        <w:t>Le serveur doit être résilié officiellement auprès d'OVH pour arrêter la facturation.</w:t>
      </w:r>
    </w:p>
    <w:p>
      <w:pPr>
        <w:pStyle w:val="TextBody"/>
        <w:numPr>
          <w:ilvl w:val="0"/>
          <w:numId w:val="62"/>
        </w:numPr>
        <w:tabs>
          <w:tab w:val="clear" w:pos="708"/>
          <w:tab w:val="left" w:pos="0" w:leader="none"/>
        </w:tabs>
        <w:ind w:left="709" w:right="0" w:hanging="283"/>
        <w:rPr/>
      </w:pPr>
      <w:r>
        <w:rPr/>
        <w:t>Le statut du serveur dans le registre DOC-OPS-01 doit être mis à jour pour indiquer "Décommissionné" avec la date de décommissionnement.</w:t>
      </w:r>
    </w:p>
    <w:p>
      <w:pPr>
        <w:pStyle w:val="TextBody"/>
        <w:numPr>
          <w:ilvl w:val="0"/>
          <w:numId w:val="62"/>
        </w:numPr>
        <w:tabs>
          <w:tab w:val="clear" w:pos="708"/>
          <w:tab w:val="left" w:pos="0" w:leader="none"/>
        </w:tabs>
        <w:ind w:left="709" w:right="0" w:hanging="283"/>
        <w:rPr/>
      </w:pPr>
      <w:r>
        <w:rPr>
          <w:rStyle w:val="StrongEmphasis"/>
        </w:rPr>
        <w:t>Si le serveur traitait des données personnelles, vous devez obtenir et conserver un certificat de destruction de données</w:t>
      </w:r>
      <w:r>
        <w:rPr/>
        <w:t xml:space="preserve"> qui est une exigence de l'APDP pour prouver que les données ont été détruites de manière sécurisée.</w:t>
      </w:r>
    </w:p>
    <w:p>
      <w:pPr>
        <w:pStyle w:val="TextBody"/>
        <w:rPr/>
      </w:pPr>
      <w:r>
        <w:rPr>
          <w:rStyle w:val="StrongEmphasis"/>
          <w:b/>
          <w:color w:val="014276"/>
          <w:kern w:val="0"/>
          <w:sz w:val="24"/>
          <w:szCs w:val="24"/>
          <w:lang w:val="fr-FR" w:eastAsia="en-US" w:bidi="ar-SA"/>
        </w:rPr>
        <w:t>ATTENTION CRITIQUE pour la conformité APDP :</w:t>
      </w:r>
      <w:r>
        <w:rPr/>
        <w:t xml:space="preserve"> Une destruction inappropriée ou incomplète de données personnelles constitue une violation majeure de la réglementation et peut entraîner des sanctions importantes.</w:t>
      </w:r>
    </w:p>
    <w:p>
      <w:pPr>
        <w:pStyle w:val="Heading1"/>
        <w:rPr/>
      </w:pPr>
      <w:bookmarkStart w:id="84" w:name="__RefHeading___Toc9259_2601441312"/>
      <w:bookmarkEnd w:id="84"/>
      <w:r>
        <w:rPr/>
        <w:t>ANNEXES</w:t>
      </w:r>
    </w:p>
    <w:p>
      <w:pPr>
        <w:pStyle w:val="Heading2"/>
        <w:rPr/>
      </w:pPr>
      <w:bookmarkStart w:id="85" w:name="__RefHeading___Toc9261_2601441312"/>
      <w:bookmarkEnd w:id="85"/>
      <w:r>
        <w:rPr/>
        <w:t>Annexe A : Checklist rapide imprimable (format une page)</w:t>
      </w:r>
    </w:p>
    <w:p>
      <w:pPr>
        <w:pStyle w:val="TextBody"/>
        <w:rPr/>
      </w:pPr>
      <w:r>
        <w:rPr/>
        <w:t>Cette checklist ultra-synthétique peut être imprimée et cochée au fur et à mesure de la procédure pour suivre votre progression.</w:t>
      </w:r>
    </w:p>
    <w:p>
      <w:pPr>
        <w:pStyle w:val="PreformattedText"/>
        <w:rPr/>
      </w:pPr>
      <w:r>
        <w:rPr>
          <w:rStyle w:val="SourceText"/>
        </w:rPr>
        <w:t xml:space="preserve">☐ </w:t>
      </w:r>
      <w:r>
        <w:rPr>
          <w:rStyle w:val="SourceText"/>
        </w:rPr>
        <w:t>Provisionnement du serveur sur OVH Manager</w:t>
      </w:r>
    </w:p>
    <w:p>
      <w:pPr>
        <w:pStyle w:val="PreformattedText"/>
        <w:rPr/>
      </w:pPr>
      <w:r>
        <w:rPr>
          <w:rStyle w:val="SourceText"/>
        </w:rPr>
        <w:t xml:space="preserve">☐ </w:t>
      </w:r>
      <w:r>
        <w:rPr>
          <w:rStyle w:val="SourceText"/>
        </w:rPr>
        <w:t>Premier accès au serveur et vérifications initiales</w:t>
      </w:r>
    </w:p>
    <w:p>
      <w:pPr>
        <w:pStyle w:val="PreformattedText"/>
        <w:rPr/>
      </w:pPr>
      <w:r>
        <w:rPr>
          <w:rStyle w:val="SourceText"/>
        </w:rPr>
        <w:t xml:space="preserve">☐ </w:t>
      </w:r>
      <w:r>
        <w:rPr>
          <w:rStyle w:val="SourceText"/>
        </w:rPr>
        <w:t>Changement du mot de passe root → Stockage dans Passbolt</w:t>
      </w:r>
    </w:p>
    <w:p>
      <w:pPr>
        <w:pStyle w:val="PreformattedText"/>
        <w:rPr/>
      </w:pPr>
      <w:r>
        <w:rPr>
          <w:rStyle w:val="SourceText"/>
        </w:rPr>
        <w:t xml:space="preserve">☐ </w:t>
      </w:r>
      <w:r>
        <w:rPr>
          <w:rStyle w:val="SourceText"/>
        </w:rPr>
        <w:t>Mise à jour système initiale complète</w:t>
      </w:r>
    </w:p>
    <w:p>
      <w:pPr>
        <w:pStyle w:val="PreformattedText"/>
        <w:rPr/>
      </w:pPr>
      <w:r>
        <w:rPr>
          <w:rStyle w:val="SourceText"/>
        </w:rPr>
        <w:t xml:space="preserve">☐ </w:t>
      </w:r>
      <w:r>
        <w:rPr>
          <w:rStyle w:val="SourceText"/>
        </w:rPr>
        <w:t>Configuration hostname + fuseau horaire + locale</w:t>
      </w:r>
    </w:p>
    <w:p>
      <w:pPr>
        <w:pStyle w:val="PreformattedText"/>
        <w:rPr/>
      </w:pPr>
      <w:r>
        <w:rPr>
          <w:rStyle w:val="SourceText"/>
        </w:rPr>
        <w:t xml:space="preserve">☐ </w:t>
      </w:r>
      <w:r>
        <w:rPr>
          <w:rStyle w:val="SourceText"/>
        </w:rPr>
        <w:t>Création compte administrateur nominatif + ajout au groupe sudo</w:t>
      </w:r>
    </w:p>
    <w:p>
      <w:pPr>
        <w:pStyle w:val="PreformattedText"/>
        <w:rPr/>
      </w:pPr>
      <w:r>
        <w:rPr>
          <w:rStyle w:val="SourceText"/>
        </w:rPr>
        <w:t xml:space="preserve">☐ </w:t>
      </w:r>
      <w:r>
        <w:rPr>
          <w:rStyle w:val="SourceText"/>
        </w:rPr>
        <w:t>Génération et déploiement de la clé SSH</w:t>
      </w:r>
    </w:p>
    <w:p>
      <w:pPr>
        <w:pStyle w:val="PreformattedText"/>
        <w:rPr/>
      </w:pPr>
      <w:r>
        <w:rPr>
          <w:rStyle w:val="SourceText"/>
        </w:rPr>
        <w:t xml:space="preserve">☐ </w:t>
      </w:r>
      <w:r>
        <w:rPr>
          <w:rStyle w:val="SourceText"/>
        </w:rPr>
        <w:t>Application de la configuration SSH sécurisée (voir DOC-REF-01 [REF-SSH-CONFIG])</w:t>
      </w:r>
    </w:p>
    <w:p>
      <w:pPr>
        <w:pStyle w:val="PreformattedText"/>
        <w:rPr/>
      </w:pPr>
      <w:r>
        <w:rPr>
          <w:rStyle w:val="SourceText"/>
        </w:rPr>
        <w:t xml:space="preserve">☐ </w:t>
      </w:r>
      <w:r>
        <w:rPr>
          <w:rStyle w:val="SourceText"/>
        </w:rPr>
        <w:t>Configuration et activation du pare-feu UFW</w:t>
      </w:r>
    </w:p>
    <w:p>
      <w:pPr>
        <w:pStyle w:val="PreformattedText"/>
        <w:rPr/>
      </w:pPr>
      <w:r>
        <w:rPr>
          <w:rStyle w:val="SourceText"/>
        </w:rPr>
        <w:t xml:space="preserve">☐ </w:t>
      </w:r>
      <w:r>
        <w:rPr>
          <w:rStyle w:val="SourceText"/>
        </w:rPr>
        <w:t>Installation et configuration de Fail2Ban</w:t>
      </w:r>
    </w:p>
    <w:p>
      <w:pPr>
        <w:pStyle w:val="PreformattedText"/>
        <w:rPr/>
      </w:pPr>
      <w:r>
        <w:rPr>
          <w:rStyle w:val="SourceText"/>
        </w:rPr>
        <w:t xml:space="preserve">☐ </w:t>
      </w:r>
      <w:r>
        <w:rPr>
          <w:rStyle w:val="SourceText"/>
        </w:rPr>
        <w:t>Configuration des mises à jour automatiques (unattended-upgrades)</w:t>
      </w:r>
    </w:p>
    <w:p>
      <w:pPr>
        <w:pStyle w:val="PreformattedText"/>
        <w:rPr/>
      </w:pPr>
      <w:r>
        <w:rPr>
          <w:rStyle w:val="SourceText"/>
        </w:rPr>
        <w:t xml:space="preserve">☐ </w:t>
      </w:r>
      <w:r>
        <w:rPr>
          <w:rStyle w:val="SourceText"/>
        </w:rPr>
        <w:t>Configuration de la rotation des logs (minimum 90 jours)</w:t>
      </w:r>
    </w:p>
    <w:p>
      <w:pPr>
        <w:pStyle w:val="PreformattedText"/>
        <w:rPr/>
      </w:pPr>
      <w:r>
        <w:rPr>
          <w:rStyle w:val="SourceText"/>
        </w:rPr>
        <w:t xml:space="preserve">☐ </w:t>
      </w:r>
      <w:r>
        <w:rPr>
          <w:rStyle w:val="SourceText"/>
        </w:rPr>
        <w:t>Application du durcissement kernel (sysctl)</w:t>
      </w:r>
    </w:p>
    <w:p>
      <w:pPr>
        <w:pStyle w:val="PreformattedText"/>
        <w:rPr/>
      </w:pPr>
      <w:r>
        <w:rPr>
          <w:rStyle w:val="SourceText"/>
        </w:rPr>
        <w:t xml:space="preserve">☐ </w:t>
      </w:r>
      <w:r>
        <w:rPr>
          <w:rStyle w:val="SourceText"/>
        </w:rPr>
        <w:t>Désactivation des services inutiles</w:t>
      </w:r>
    </w:p>
    <w:p>
      <w:pPr>
        <w:pStyle w:val="PreformattedText"/>
        <w:rPr/>
      </w:pPr>
      <w:r>
        <w:rPr>
          <w:rStyle w:val="SourceText"/>
        </w:rPr>
        <w:t xml:space="preserve">☐ </w:t>
      </w:r>
      <w:r>
        <w:rPr>
          <w:rStyle w:val="SourceText"/>
        </w:rPr>
        <w:t>Installation de tous les paquets de base obligatoires</w:t>
      </w:r>
    </w:p>
    <w:p>
      <w:pPr>
        <w:pStyle w:val="PreformattedText"/>
        <w:rPr/>
      </w:pPr>
      <w:r>
        <w:rPr>
          <w:rStyle w:val="SourceText"/>
        </w:rPr>
        <w:t xml:space="preserve">☐ </w:t>
      </w:r>
      <w:r>
        <w:rPr>
          <w:rStyle w:val="SourceText"/>
        </w:rPr>
        <w:t>Application des mesures APDP si données personnelles (voir DOC-REF-03)</w:t>
      </w:r>
    </w:p>
    <w:p>
      <w:pPr>
        <w:pStyle w:val="PreformattedText"/>
        <w:rPr/>
      </w:pPr>
      <w:r>
        <w:rPr>
          <w:rStyle w:val="SourceText"/>
        </w:rPr>
        <w:t xml:space="preserve">☐ </w:t>
      </w:r>
      <w:r>
        <w:rPr>
          <w:rStyle w:val="SourceText"/>
        </w:rPr>
        <w:t>Enregistrement du serveur dans le registre DOC-OPS-01</w:t>
      </w:r>
    </w:p>
    <w:p>
      <w:pPr>
        <w:pStyle w:val="PreformattedText"/>
        <w:rPr/>
      </w:pPr>
      <w:r>
        <w:rPr>
          <w:rStyle w:val="SourceText"/>
        </w:rPr>
        <w:t xml:space="preserve">☐ </w:t>
      </w:r>
      <w:r>
        <w:rPr>
          <w:rStyle w:val="SourceText"/>
        </w:rPr>
        <w:t>Configuration des sauvegardes (snapshots + backup applicatif si nécessaire)</w:t>
      </w:r>
    </w:p>
    <w:p>
      <w:pPr>
        <w:pStyle w:val="PreformattedText"/>
        <w:rPr/>
      </w:pPr>
      <w:r>
        <w:rPr>
          <w:rStyle w:val="SourceText"/>
        </w:rPr>
        <w:t xml:space="preserve">☐ </w:t>
      </w:r>
      <w:r>
        <w:rPr>
          <w:rStyle w:val="SourceText"/>
        </w:rPr>
        <w:t>Exécution de tous les tests de validation (SSH, ports, Fail2Ban, audit)</w:t>
      </w:r>
    </w:p>
    <w:p>
      <w:pPr>
        <w:pStyle w:val="PreformattedText"/>
        <w:rPr/>
      </w:pPr>
      <w:r>
        <w:rPr>
          <w:rStyle w:val="SourceText"/>
        </w:rPr>
        <w:t xml:space="preserve">☐ </w:t>
      </w:r>
      <w:r>
        <w:rPr>
          <w:rStyle w:val="SourceText"/>
        </w:rPr>
        <w:t>Création de la documentation technique du serveur</w:t>
      </w:r>
    </w:p>
    <w:p>
      <w:pPr>
        <w:pStyle w:val="PreformattedText"/>
        <w:rPr/>
      </w:pPr>
      <w:r>
        <w:rPr>
          <w:rStyle w:val="SourceText"/>
        </w:rPr>
        <w:t xml:space="preserve">☐ </w:t>
      </w:r>
      <w:r>
        <w:rPr>
          <w:rStyle w:val="SourceText"/>
        </w:rPr>
        <w:t>Obtention de la validation finale des responsables</w:t>
      </w:r>
    </w:p>
    <w:p>
      <w:pPr>
        <w:pStyle w:val="PreformattedText"/>
        <w:spacing w:before="240" w:after="283"/>
        <w:rPr/>
      </w:pPr>
      <w:r>
        <w:rPr>
          <w:rStyle w:val="SourceText"/>
        </w:rPr>
        <w:t xml:space="preserve">☐ </w:t>
      </w:r>
      <w:r>
        <w:rPr>
          <w:rStyle w:val="SourceText"/>
        </w:rPr>
        <w:t>Envoi de la communication de mise en production</w:t>
      </w:r>
    </w:p>
    <w:p>
      <w:pPr>
        <w:pStyle w:val="Heading2"/>
        <w:rPr/>
      </w:pPr>
      <w:bookmarkStart w:id="86" w:name="__RefHeading___Toc9263_2601441312"/>
      <w:bookmarkEnd w:id="86"/>
      <w:r>
        <w:rPr/>
        <w:t>Annexe B : Temps estimés par étape</w:t>
      </w:r>
    </w:p>
    <w:p>
      <w:pPr>
        <w:pStyle w:val="TextBody"/>
        <w:rPr/>
      </w:pPr>
      <w:r>
        <w:rPr/>
        <w:t>Ce tableau vous permet de planifier le temps nécessaire pour chaque grande étape de la procédure.</w:t>
      </w:r>
    </w:p>
    <w:tbl>
      <w:tblPr>
        <w:tblW w:w="6838" w:type="dxa"/>
        <w:jc w:val="left"/>
        <w:tblInd w:w="-5" w:type="dxa"/>
        <w:tblLayout w:type="fixed"/>
        <w:tblCellMar>
          <w:top w:w="55" w:type="dxa"/>
          <w:left w:w="55" w:type="dxa"/>
          <w:bottom w:w="55" w:type="dxa"/>
          <w:right w:w="55" w:type="dxa"/>
        </w:tblCellMar>
      </w:tblPr>
      <w:tblGrid>
        <w:gridCol w:w="5313"/>
        <w:gridCol w:w="1525"/>
      </w:tblGrid>
      <w:tr>
        <w:trPr/>
        <w:tc>
          <w:tcPr>
            <w:tcW w:w="5313"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b/>
                <w:color w:val="014276"/>
                <w:kern w:val="0"/>
                <w:sz w:val="24"/>
                <w:szCs w:val="24"/>
                <w:lang w:val="fr-FR" w:eastAsia="en-US" w:bidi="ar-SA"/>
              </w:rPr>
              <w:t>Étape de la procédure</w:t>
            </w:r>
          </w:p>
        </w:tc>
        <w:tc>
          <w:tcPr>
            <w:tcW w:w="1525"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b/>
                <w:color w:val="014276"/>
                <w:kern w:val="0"/>
                <w:sz w:val="24"/>
                <w:szCs w:val="24"/>
                <w:lang w:val="fr-FR" w:eastAsia="en-US" w:bidi="ar-SA"/>
              </w:rPr>
              <w:t>Durée estimée</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Étapes 1-2 : Provisionnement du serveur sur OVH</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15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3 : Premier accès et vérifications</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4 : Configuration de sécurité initiale</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20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5 : Gestion des comptes utilisateurs</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15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6 : Configuration SSH sécurisée</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30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7 : Configuration du pare-feu UFW</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8 : Installation et configuration de Fail2Ban</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9 : Configuration des mises à jour automatiques</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10 : Configuration de la gestion des logs</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5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11 : Durcissement système</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15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12 : Installation des paquets de base</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13 : Configuration APDP (si applicable)</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30-60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14 : Documentation du serveur</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20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15 : Tests de validation</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30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16 : Configuration des sauvegardes</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20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Étape 17 : Mise en production</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15 minutes</w:t>
            </w:r>
          </w:p>
        </w:tc>
      </w:tr>
      <w:tr>
        <w:trPr/>
        <w:tc>
          <w:tcPr>
            <w:tcW w:w="5313"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color w:val="014276"/>
                <w:kern w:val="0"/>
                <w:sz w:val="24"/>
                <w:szCs w:val="24"/>
                <w:lang w:val="fr-FR" w:eastAsia="en-US" w:bidi="ar-SA"/>
              </w:rPr>
              <w:t>DURÉE TOTALE ESTIMÉE</w:t>
            </w:r>
          </w:p>
        </w:tc>
        <w:tc>
          <w:tcPr>
            <w:tcW w:w="1525"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rStyle w:val="StrongEmphasis"/>
              </w:rPr>
              <w:t>2h30 à 3h30</w:t>
            </w:r>
          </w:p>
        </w:tc>
      </w:tr>
    </w:tbl>
    <w:p>
      <w:pPr>
        <w:pStyle w:val="TextBody"/>
        <w:rPr>
          <w:rFonts w:cs="Times New Roman"/>
          <w:szCs w:val="24"/>
        </w:rPr>
      </w:pPr>
      <w:r>
        <w:rPr>
          <w:rFonts w:cs="Times New Roman"/>
          <w:szCs w:val="24"/>
        </w:rPr>
      </w:r>
    </w:p>
    <w:p>
      <w:pPr>
        <w:pStyle w:val="Heading2"/>
        <w:rPr/>
      </w:pPr>
      <w:bookmarkStart w:id="87" w:name="__RefHeading___Toc9265_2601441312"/>
      <w:bookmarkEnd w:id="87"/>
      <w:r>
        <w:rPr/>
        <w:t>Annexe C : Commandes rapides de vérification</w:t>
      </w:r>
    </w:p>
    <w:p>
      <w:pPr>
        <w:pStyle w:val="TextBody"/>
        <w:rPr/>
      </w:pPr>
      <w:r>
        <w:rPr/>
        <w:t>Cette annexe fournit une liste de commandes utiles que vous pouvez exécuter rapidement pour vérifier l'état du serveur après la configuration.</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le nom d'hôte configuré</w:t>
            </w:r>
          </w:p>
          <w:p>
            <w:pPr>
              <w:pStyle w:val="PreformattedText"/>
              <w:widowControl w:val="false"/>
              <w:rPr/>
            </w:pPr>
            <w:r>
              <w:rPr>
                <w:rStyle w:val="SourceText"/>
              </w:rPr>
              <w:t>hostname</w:t>
            </w:r>
          </w:p>
          <w:p>
            <w:pPr>
              <w:pStyle w:val="PreformattedText"/>
              <w:widowControl w:val="false"/>
              <w:rPr/>
            </w:pPr>
            <w:r>
              <w:rPr>
                <w:rStyle w:val="SourceText"/>
              </w:rPr>
              <w:t># Vérifier le fuseau horaire</w:t>
            </w:r>
          </w:p>
          <w:p>
            <w:pPr>
              <w:pStyle w:val="PreformattedText"/>
              <w:widowControl w:val="false"/>
              <w:rPr/>
            </w:pPr>
            <w:r>
              <w:rPr>
                <w:rStyle w:val="SourceText"/>
              </w:rPr>
              <w:t>timedatectl | grep "Time zone"</w:t>
            </w:r>
          </w:p>
          <w:p>
            <w:pPr>
              <w:pStyle w:val="PreformattedText"/>
              <w:widowControl w:val="false"/>
              <w:rPr/>
            </w:pPr>
            <w:r>
              <w:rPr>
                <w:rStyle w:val="SourceText"/>
              </w:rPr>
              <w:t># Vérifier la syntaxe de la configuration SSH</w:t>
            </w:r>
          </w:p>
          <w:p>
            <w:pPr>
              <w:pStyle w:val="PreformattedText"/>
              <w:widowControl w:val="false"/>
              <w:rPr/>
            </w:pPr>
            <w:r>
              <w:rPr>
                <w:rStyle w:val="SourceText"/>
              </w:rPr>
              <w:t>sudo sshd -t &amp;&amp; echo "Configuration SSH OK"</w:t>
            </w:r>
          </w:p>
          <w:p>
            <w:pPr>
              <w:pStyle w:val="PreformattedText"/>
              <w:widowControl w:val="false"/>
              <w:rPr/>
            </w:pPr>
            <w:r>
              <w:rPr>
                <w:rStyle w:val="SourceText"/>
              </w:rPr>
              <w:t># Vérifier le statut du pare-feu UFW</w:t>
            </w:r>
          </w:p>
          <w:p>
            <w:pPr>
              <w:pStyle w:val="PreformattedText"/>
              <w:widowControl w:val="false"/>
              <w:rPr/>
            </w:pPr>
            <w:r>
              <w:rPr>
                <w:rStyle w:val="SourceText"/>
              </w:rPr>
              <w:t>sudo ufw status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Vérifier le statut de Fail2Ban</w:t>
            </w:r>
          </w:p>
          <w:p>
            <w:pPr>
              <w:pStyle w:val="PreformattedText"/>
              <w:widowControl w:val="false"/>
              <w:rPr/>
            </w:pPr>
            <w:r>
              <w:rPr>
                <w:rStyle w:val="SourceText"/>
              </w:rPr>
              <w:t>sudo fail2ban-client status</w:t>
            </w:r>
          </w:p>
          <w:p>
            <w:pPr>
              <w:pStyle w:val="PreformattedText"/>
              <w:widowControl w:val="false"/>
              <w:rPr/>
            </w:pPr>
            <w:r>
              <w:rPr>
                <w:rStyle w:val="SourceText"/>
              </w:rPr>
              <w:t># Vérifier que les mises à jour automatiques sont actives</w:t>
            </w:r>
          </w:p>
          <w:p>
            <w:pPr>
              <w:pStyle w:val="PreformattedText"/>
              <w:widowControl w:val="false"/>
              <w:rPr/>
            </w:pPr>
            <w:r>
              <w:rPr>
                <w:rStyle w:val="SourceText"/>
              </w:rPr>
              <w:t>sudo systemctl status unattended-upgrades</w:t>
            </w:r>
          </w:p>
          <w:p>
            <w:pPr>
              <w:pStyle w:val="PreformattedText"/>
              <w:widowControl w:val="false"/>
              <w:rPr/>
            </w:pPr>
            <w:r>
              <w:rPr>
                <w:rStyle w:val="SourceText"/>
              </w:rPr>
              <w:t># Vérifier un paramètre spécifique du durcissement kernel</w:t>
            </w:r>
          </w:p>
          <w:p>
            <w:pPr>
              <w:pStyle w:val="PreformattedText"/>
              <w:widowControl w:val="false"/>
              <w:rPr/>
            </w:pPr>
            <w:r>
              <w:rPr>
                <w:rStyle w:val="SourceText"/>
              </w:rPr>
              <w:t>sudo sysctl net.ipv4.tcp_syncookies</w:t>
            </w:r>
          </w:p>
          <w:p>
            <w:pPr>
              <w:pStyle w:val="PreformattedText"/>
              <w:widowControl w:val="false"/>
              <w:rPr/>
            </w:pPr>
            <w:r>
              <w:rPr>
                <w:rStyle w:val="SourceText"/>
              </w:rPr>
              <w:t># Vérifier l'espace disque disponible</w:t>
            </w:r>
          </w:p>
          <w:p>
            <w:pPr>
              <w:pStyle w:val="PreformattedText"/>
              <w:widowControl w:val="false"/>
              <w:rPr/>
            </w:pPr>
            <w:r>
              <w:rPr>
                <w:rStyle w:val="SourceText"/>
              </w:rPr>
              <w:t>df -h</w:t>
            </w:r>
          </w:p>
          <w:p>
            <w:pPr>
              <w:pStyle w:val="PreformattedText"/>
              <w:widowControl w:val="false"/>
              <w:rPr/>
            </w:pPr>
            <w:r>
              <w:rPr>
                <w:rStyle w:val="SourceText"/>
              </w:rPr>
              <w:t># Vérifier la mémoire disponible</w:t>
            </w:r>
          </w:p>
          <w:p>
            <w:pPr>
              <w:pStyle w:val="PreformattedText"/>
              <w:widowControl w:val="false"/>
              <w:rPr/>
            </w:pPr>
            <w:r>
              <w:rPr>
                <w:rStyle w:val="SourceText"/>
              </w:rPr>
              <w:t>free -h</w:t>
            </w:r>
          </w:p>
          <w:p>
            <w:pPr>
              <w:pStyle w:val="PreformattedText"/>
              <w:widowControl w:val="false"/>
              <w:rPr/>
            </w:pPr>
            <w:r>
              <w:rPr>
                <w:rStyle w:val="SourceText"/>
              </w:rPr>
              <w:t># Compter le nombre de services actifs</w:t>
            </w:r>
          </w:p>
          <w:p>
            <w:pPr>
              <w:pStyle w:val="PreformattedText"/>
              <w:widowControl w:val="false"/>
              <w:spacing w:before="240" w:after="283"/>
              <w:rPr/>
            </w:pPr>
            <w:r>
              <w:rPr>
                <w:rStyle w:val="SourceText"/>
              </w:rPr>
              <w:t>sudo systemctl list-units --type=service --state=running | wc -l</w:t>
            </w:r>
          </w:p>
        </w:tc>
      </w:tr>
    </w:tbl>
    <w:p>
      <w:pPr>
        <w:pStyle w:val="TextBody"/>
        <w:rPr>
          <w:rFonts w:cs="Times New Roman"/>
          <w:szCs w:val="24"/>
        </w:rPr>
      </w:pPr>
      <w:r>
        <w:rPr>
          <w:rFonts w:cs="Times New Roman"/>
          <w:szCs w:val="24"/>
        </w:rPr>
      </w:r>
    </w:p>
    <w:p>
      <w:pPr>
        <w:pStyle w:val="Heading2"/>
        <w:rPr/>
      </w:pPr>
      <w:bookmarkStart w:id="88" w:name="__RefHeading___Toc9267_2601441312"/>
      <w:bookmarkEnd w:id="88"/>
      <w:r>
        <w:rPr/>
        <w:t>Annexe D : Documents de référence à consulter</w:t>
      </w:r>
    </w:p>
    <w:p>
      <w:pPr>
        <w:pStyle w:val="TextBody"/>
        <w:rPr/>
      </w:pPr>
      <w:r>
        <w:rPr/>
        <w:t>Cette annexe liste tous les documents que vous devrez potentiellement consulter pendant l'exécution de cette procédure.</w:t>
      </w:r>
    </w:p>
    <w:tbl>
      <w:tblPr>
        <w:tblW w:w="5000" w:type="pct"/>
        <w:jc w:val="left"/>
        <w:tblInd w:w="-5" w:type="dxa"/>
        <w:tblLayout w:type="fixed"/>
        <w:tblCellMar>
          <w:top w:w="55" w:type="dxa"/>
          <w:left w:w="55" w:type="dxa"/>
          <w:bottom w:w="55" w:type="dxa"/>
          <w:right w:w="55" w:type="dxa"/>
        </w:tblCellMar>
      </w:tblPr>
      <w:tblGrid>
        <w:gridCol w:w="1799"/>
        <w:gridCol w:w="3425"/>
        <w:gridCol w:w="3848"/>
      </w:tblGrid>
      <w:tr>
        <w:trPr/>
        <w:tc>
          <w:tcPr>
            <w:tcW w:w="1799"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b/>
                <w:b/>
                <w:bCs/>
                <w:color w:val="014276"/>
                <w:kern w:val="0"/>
                <w:sz w:val="24"/>
                <w:szCs w:val="24"/>
                <w:lang w:val="fr-FR" w:eastAsia="en-US" w:bidi="ar-SA"/>
              </w:rPr>
            </w:pPr>
            <w:r>
              <w:rPr>
                <w:b/>
                <w:bCs/>
                <w:color w:val="014276"/>
                <w:kern w:val="0"/>
                <w:sz w:val="24"/>
                <w:szCs w:val="24"/>
                <w:lang w:val="fr-FR" w:eastAsia="en-US" w:bidi="ar-SA"/>
              </w:rPr>
              <w:t>Document de référence</w:t>
            </w:r>
          </w:p>
        </w:tc>
        <w:tc>
          <w:tcPr>
            <w:tcW w:w="3425"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b/>
                <w:b/>
                <w:color w:val="014276"/>
                <w:kern w:val="0"/>
                <w:sz w:val="24"/>
                <w:szCs w:val="24"/>
                <w:lang w:val="fr-FR" w:eastAsia="en-US" w:bidi="ar-SA"/>
              </w:rPr>
            </w:pPr>
            <w:r>
              <w:rPr>
                <w:b/>
                <w:color w:val="014276"/>
                <w:kern w:val="0"/>
                <w:sz w:val="24"/>
                <w:szCs w:val="24"/>
                <w:lang w:val="fr-FR" w:eastAsia="en-US" w:bidi="ar-SA"/>
              </w:rPr>
              <w:t>Utilisation pendant la procédure</w:t>
            </w:r>
          </w:p>
        </w:tc>
        <w:tc>
          <w:tcPr>
            <w:tcW w:w="3848"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b/>
                <w:b/>
                <w:color w:val="014276"/>
                <w:kern w:val="0"/>
                <w:sz w:val="24"/>
                <w:szCs w:val="24"/>
                <w:lang w:val="fr-FR" w:eastAsia="en-US" w:bidi="ar-SA"/>
              </w:rPr>
            </w:pPr>
            <w:r>
              <w:rPr>
                <w:b/>
                <w:color w:val="014276"/>
                <w:kern w:val="0"/>
                <w:sz w:val="24"/>
                <w:szCs w:val="24"/>
                <w:lang w:val="fr-FR" w:eastAsia="en-US" w:bidi="ar-SA"/>
              </w:rPr>
              <w:t>Sections particulièrement importantes</w:t>
            </w:r>
          </w:p>
        </w:tc>
      </w:tr>
      <w:tr>
        <w:trPr/>
        <w:tc>
          <w:tcPr>
            <w:tcW w:w="179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DOC-REF-01</w:t>
            </w:r>
          </w:p>
        </w:tc>
        <w:tc>
          <w:tcPr>
            <w:tcW w:w="3425" w:type="dxa"/>
            <w:tcBorders>
              <w:left w:val="single" w:sz="4" w:space="0" w:color="000000"/>
              <w:bottom w:val="single" w:sz="4" w:space="0" w:color="000000"/>
            </w:tcBorders>
          </w:tcPr>
          <w:p>
            <w:pPr>
              <w:pStyle w:val="TableContents"/>
              <w:widowControl w:val="false"/>
              <w:suppressLineNumbers/>
              <w:spacing w:before="240" w:after="240"/>
              <w:rPr/>
            </w:pPr>
            <w:r>
              <w:rPr/>
              <w:t>Configuration technique complète de tous les aspects de sécurité</w:t>
            </w:r>
          </w:p>
        </w:tc>
        <w:tc>
          <w:tcPr>
            <w:tcW w:w="384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Toutes les sections identifiées par des codes [REF-XXX]</w:t>
            </w:r>
          </w:p>
        </w:tc>
      </w:tr>
      <w:tr>
        <w:trPr/>
        <w:tc>
          <w:tcPr>
            <w:tcW w:w="179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DOC-REF-03</w:t>
            </w:r>
          </w:p>
        </w:tc>
        <w:tc>
          <w:tcPr>
            <w:tcW w:w="3425" w:type="dxa"/>
            <w:tcBorders>
              <w:left w:val="single" w:sz="4" w:space="0" w:color="000000"/>
              <w:bottom w:val="single" w:sz="4" w:space="0" w:color="000000"/>
            </w:tcBorders>
          </w:tcPr>
          <w:p>
            <w:pPr>
              <w:pStyle w:val="TableContents"/>
              <w:widowControl w:val="false"/>
              <w:suppressLineNumbers/>
              <w:spacing w:before="240" w:after="240"/>
              <w:rPr/>
            </w:pPr>
            <w:r>
              <w:rPr/>
              <w:t>Mesures de protection spécifiques pour les données personnelles</w:t>
            </w:r>
          </w:p>
        </w:tc>
        <w:tc>
          <w:tcPr>
            <w:tcW w:w="384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À consulter uniquement si le serveur traitera des données personnelles</w:t>
            </w:r>
          </w:p>
        </w:tc>
      </w:tr>
      <w:tr>
        <w:trPr/>
        <w:tc>
          <w:tcPr>
            <w:tcW w:w="179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DOC-OPS-01</w:t>
            </w:r>
          </w:p>
        </w:tc>
        <w:tc>
          <w:tcPr>
            <w:tcW w:w="3425" w:type="dxa"/>
            <w:tcBorders>
              <w:left w:val="single" w:sz="4" w:space="0" w:color="000000"/>
              <w:bottom w:val="single" w:sz="4" w:space="0" w:color="000000"/>
            </w:tcBorders>
          </w:tcPr>
          <w:p>
            <w:pPr>
              <w:pStyle w:val="TableContents"/>
              <w:widowControl w:val="false"/>
              <w:suppressLineNumbers/>
              <w:spacing w:before="240" w:after="240"/>
              <w:rPr/>
            </w:pPr>
            <w:r>
              <w:rPr/>
              <w:t>Registre central pour enregistrer le nouveau serveur</w:t>
            </w:r>
          </w:p>
        </w:tc>
        <w:tc>
          <w:tcPr>
            <w:tcW w:w="384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Section d'inventaire des serveurs</w:t>
            </w:r>
          </w:p>
        </w:tc>
      </w:tr>
      <w:tr>
        <w:trPr/>
        <w:tc>
          <w:tcPr>
            <w:tcW w:w="179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b/>
                <w:bCs/>
                <w:color w:val="014276"/>
                <w:kern w:val="0"/>
                <w:sz w:val="24"/>
                <w:szCs w:val="24"/>
                <w:lang w:val="fr-FR" w:eastAsia="en-US" w:bidi="ar-SA"/>
              </w:rPr>
              <w:t>DOC-REF-02</w:t>
            </w:r>
          </w:p>
        </w:tc>
        <w:tc>
          <w:tcPr>
            <w:tcW w:w="3425" w:type="dxa"/>
            <w:tcBorders>
              <w:left w:val="single" w:sz="4" w:space="0" w:color="000000"/>
              <w:bottom w:val="single" w:sz="4" w:space="0" w:color="000000"/>
            </w:tcBorders>
          </w:tcPr>
          <w:p>
            <w:pPr>
              <w:pStyle w:val="TableContents"/>
              <w:widowControl w:val="false"/>
              <w:suppressLineNumbers/>
              <w:spacing w:before="240" w:after="240"/>
              <w:rPr/>
            </w:pPr>
            <w:r>
              <w:rPr/>
              <w:t>Stratégie et procédures de sauvegarde et restauration</w:t>
            </w:r>
          </w:p>
        </w:tc>
        <w:tc>
          <w:tcPr>
            <w:tcW w:w="384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Configuration des backups et tests de restauration</w:t>
            </w:r>
          </w:p>
        </w:tc>
      </w:tr>
    </w:tbl>
    <w:p>
      <w:pPr>
        <w:pStyle w:val="Heading2"/>
        <w:rPr/>
      </w:pPr>
      <w:bookmarkStart w:id="89" w:name="__RefHeading___Toc9269_2601441312"/>
      <w:bookmarkEnd w:id="89"/>
      <w:r>
        <w:rPr/>
        <w:t>Annexe E : Contacts et support</w:t>
      </w:r>
    </w:p>
    <w:p>
      <w:pPr>
        <w:pStyle w:val="TextBody"/>
        <w:rPr/>
      </w:pPr>
      <w:r>
        <w:rPr/>
        <w:t>Cette annexe centralise tous les contacts utiles pour obtenir de l'aide pendant ou après la mise en service du serveur.</w:t>
      </w:r>
    </w:p>
    <w:tbl>
      <w:tblPr>
        <w:tblW w:w="5000" w:type="pct"/>
        <w:jc w:val="left"/>
        <w:tblInd w:w="-5" w:type="dxa"/>
        <w:tblLayout w:type="fixed"/>
        <w:tblCellMar>
          <w:top w:w="55" w:type="dxa"/>
          <w:left w:w="55" w:type="dxa"/>
          <w:bottom w:w="55" w:type="dxa"/>
          <w:right w:w="55" w:type="dxa"/>
        </w:tblCellMar>
      </w:tblPr>
      <w:tblGrid>
        <w:gridCol w:w="1174"/>
        <w:gridCol w:w="4675"/>
        <w:gridCol w:w="3223"/>
      </w:tblGrid>
      <w:tr>
        <w:trPr/>
        <w:tc>
          <w:tcPr>
            <w:tcW w:w="1174" w:type="dxa"/>
            <w:tcBorders>
              <w:top w:val="single" w:sz="4" w:space="0" w:color="000000"/>
              <w:left w:val="single" w:sz="4" w:space="0" w:color="000000"/>
              <w:bottom w:val="single" w:sz="4" w:space="0" w:color="000000"/>
            </w:tcBorders>
          </w:tcPr>
          <w:p>
            <w:pPr>
              <w:pStyle w:val="Heading3"/>
              <w:keepNext w:val="true"/>
              <w:keepLines/>
              <w:widowControl w:val="false"/>
              <w:spacing w:before="40" w:after="0"/>
              <w:rPr/>
            </w:pPr>
            <w:bookmarkStart w:id="90" w:name="__RefHeading___Toc9271_2601441312"/>
            <w:bookmarkEnd w:id="90"/>
            <w:r>
              <w:rPr/>
              <w:t>Contact</w:t>
            </w:r>
          </w:p>
        </w:tc>
        <w:tc>
          <w:tcPr>
            <w:tcW w:w="4675" w:type="dxa"/>
            <w:tcBorders>
              <w:top w:val="single" w:sz="4" w:space="0" w:color="000000"/>
              <w:left w:val="single" w:sz="4" w:space="0" w:color="000000"/>
              <w:bottom w:val="single" w:sz="4" w:space="0" w:color="000000"/>
            </w:tcBorders>
          </w:tcPr>
          <w:p>
            <w:pPr>
              <w:pStyle w:val="Heading3"/>
              <w:keepNext w:val="true"/>
              <w:keepLines/>
              <w:widowControl w:val="false"/>
              <w:spacing w:before="40" w:after="0"/>
              <w:rPr/>
            </w:pPr>
            <w:bookmarkStart w:id="91" w:name="__RefHeading___Toc9273_2601441312"/>
            <w:bookmarkEnd w:id="91"/>
            <w:r>
              <w:rPr/>
              <w:t>Rôle et domaine de compétence</w:t>
            </w:r>
          </w:p>
        </w:tc>
        <w:tc>
          <w:tcPr>
            <w:tcW w:w="3223" w:type="dxa"/>
            <w:tcBorders>
              <w:top w:val="single" w:sz="4" w:space="0" w:color="000000"/>
              <w:left w:val="single" w:sz="4" w:space="0" w:color="000000"/>
              <w:bottom w:val="single" w:sz="4" w:space="0" w:color="000000"/>
              <w:right w:val="single" w:sz="4" w:space="0" w:color="000000"/>
            </w:tcBorders>
          </w:tcPr>
          <w:p>
            <w:pPr>
              <w:pStyle w:val="Heading3"/>
              <w:keepNext w:val="true"/>
              <w:keepLines/>
              <w:widowControl w:val="false"/>
              <w:spacing w:before="40" w:after="0"/>
              <w:rPr/>
            </w:pPr>
            <w:bookmarkStart w:id="92" w:name="__RefHeading___Toc9275_2601441312"/>
            <w:bookmarkEnd w:id="92"/>
            <w:r>
              <w:rPr/>
              <w:t>Coordonnées</w:t>
            </w:r>
          </w:p>
        </w:tc>
      </w:tr>
      <w:tr>
        <w:trPr/>
        <w:tc>
          <w:tcPr>
            <w:tcW w:w="1174" w:type="dxa"/>
            <w:tcBorders>
              <w:left w:val="single" w:sz="4" w:space="0" w:color="000000"/>
              <w:bottom w:val="single" w:sz="4" w:space="0" w:color="000000"/>
            </w:tcBorders>
          </w:tcPr>
          <w:p>
            <w:pPr>
              <w:pStyle w:val="Heading3"/>
              <w:keepNext w:val="true"/>
              <w:keepLines/>
              <w:widowControl w:val="false"/>
              <w:spacing w:before="40" w:after="0"/>
              <w:rPr/>
            </w:pPr>
            <w:bookmarkStart w:id="93" w:name="__RefHeading___Toc9277_2601441312"/>
            <w:bookmarkEnd w:id="93"/>
            <w:r>
              <w:rPr/>
              <w:t>[Votre Nom]</w:t>
            </w:r>
          </w:p>
        </w:tc>
        <w:tc>
          <w:tcPr>
            <w:tcW w:w="4675" w:type="dxa"/>
            <w:tcBorders>
              <w:left w:val="single" w:sz="4" w:space="0" w:color="000000"/>
              <w:bottom w:val="single" w:sz="4" w:space="0" w:color="000000"/>
            </w:tcBorders>
          </w:tcPr>
          <w:p>
            <w:pPr>
              <w:pStyle w:val="TableContents"/>
              <w:widowControl w:val="false"/>
              <w:suppressLineNumbers/>
              <w:spacing w:before="240" w:after="240"/>
              <w:rPr/>
            </w:pPr>
            <w:r>
              <w:rPr/>
              <w:t>Responsable des Systèmes d'Information - Support technique général</w:t>
            </w:r>
          </w:p>
        </w:tc>
        <w:tc>
          <w:tcPr>
            <w:tcW w:w="3223"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Email : [Votre email] / Téléphone : [Téléphone]</w:t>
            </w:r>
          </w:p>
        </w:tc>
      </w:tr>
      <w:tr>
        <w:trPr/>
        <w:tc>
          <w:tcPr>
            <w:tcW w:w="1174" w:type="dxa"/>
            <w:tcBorders>
              <w:left w:val="single" w:sz="4" w:space="0" w:color="000000"/>
              <w:bottom w:val="single" w:sz="4" w:space="0" w:color="000000"/>
            </w:tcBorders>
          </w:tcPr>
          <w:p>
            <w:pPr>
              <w:pStyle w:val="Heading3"/>
              <w:keepNext w:val="true"/>
              <w:keepLines/>
              <w:widowControl w:val="false"/>
              <w:spacing w:before="40" w:after="0"/>
              <w:rPr/>
            </w:pPr>
            <w:bookmarkStart w:id="94" w:name="__RefHeading___Toc9279_2601441312"/>
            <w:bookmarkEnd w:id="94"/>
            <w:r>
              <w:rPr/>
              <w:t>Support OVH</w:t>
            </w:r>
          </w:p>
        </w:tc>
        <w:tc>
          <w:tcPr>
            <w:tcW w:w="4675" w:type="dxa"/>
            <w:tcBorders>
              <w:left w:val="single" w:sz="4" w:space="0" w:color="000000"/>
              <w:bottom w:val="single" w:sz="4" w:space="0" w:color="000000"/>
            </w:tcBorders>
          </w:tcPr>
          <w:p>
            <w:pPr>
              <w:pStyle w:val="TableContents"/>
              <w:widowControl w:val="false"/>
              <w:suppressLineNumbers/>
              <w:spacing w:before="240" w:after="240"/>
              <w:rPr/>
            </w:pPr>
            <w:r>
              <w:rPr/>
              <w:t>Assistance pour les problèmes d'hébergement et d'infrastructure</w:t>
            </w:r>
          </w:p>
        </w:tc>
        <w:tc>
          <w:tcPr>
            <w:tcW w:w="3223"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Interface web : https://www.ovh.com/manager/</w:t>
            </w:r>
          </w:p>
        </w:tc>
      </w:tr>
      <w:tr>
        <w:trPr/>
        <w:tc>
          <w:tcPr>
            <w:tcW w:w="1174" w:type="dxa"/>
            <w:tcBorders>
              <w:left w:val="single" w:sz="4" w:space="0" w:color="000000"/>
              <w:bottom w:val="single" w:sz="4" w:space="0" w:color="000000"/>
            </w:tcBorders>
          </w:tcPr>
          <w:p>
            <w:pPr>
              <w:pStyle w:val="Heading3"/>
              <w:keepNext w:val="true"/>
              <w:keepLines/>
              <w:widowControl w:val="false"/>
              <w:spacing w:before="40" w:after="0"/>
              <w:rPr/>
            </w:pPr>
            <w:bookmarkStart w:id="95" w:name="__RefHeading___Toc9281_2601441312"/>
            <w:bookmarkEnd w:id="95"/>
            <w:r>
              <w:rPr/>
              <w:t>APDP Bénin</w:t>
            </w:r>
          </w:p>
        </w:tc>
        <w:tc>
          <w:tcPr>
            <w:tcW w:w="4675" w:type="dxa"/>
            <w:tcBorders>
              <w:left w:val="single" w:sz="4" w:space="0" w:color="000000"/>
              <w:bottom w:val="single" w:sz="4" w:space="0" w:color="000000"/>
            </w:tcBorders>
          </w:tcPr>
          <w:p>
            <w:pPr>
              <w:pStyle w:val="TableContents"/>
              <w:widowControl w:val="false"/>
              <w:suppressLineNumbers/>
              <w:spacing w:before="240" w:after="240"/>
              <w:rPr/>
            </w:pPr>
            <w:r>
              <w:rPr/>
              <w:t>Autorité de régulation pour les questions de conformité et les violations de données</w:t>
            </w:r>
          </w:p>
        </w:tc>
        <w:tc>
          <w:tcPr>
            <w:tcW w:w="3223"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Email : contact@apdp.bj</w:t>
            </w:r>
          </w:p>
        </w:tc>
      </w:tr>
    </w:tbl>
    <w:p>
      <w:pPr>
        <w:pStyle w:val="TextBody"/>
        <w:rPr>
          <w:rFonts w:cs="Times New Roman"/>
          <w:szCs w:val="24"/>
        </w:rPr>
      </w:pPr>
      <w:r>
        <w:rPr>
          <w:rFonts w:cs="Times New Roman"/>
          <w:szCs w:val="24"/>
        </w:rPr>
      </w:r>
    </w:p>
    <w:p>
      <w:pPr>
        <w:pStyle w:val="Heading1"/>
        <w:rPr/>
      </w:pPr>
      <w:bookmarkStart w:id="96" w:name="__RefHeading___Toc9283_2601441312"/>
      <w:bookmarkEnd w:id="96"/>
      <w:r>
        <w:rPr/>
        <w:t>NOTES DE FIN</w:t>
      </w:r>
    </w:p>
    <w:p>
      <w:pPr>
        <w:pStyle w:val="Heading2"/>
        <w:rPr/>
      </w:pPr>
      <w:bookmarkStart w:id="97" w:name="__RefHeading___Toc9285_2601441312"/>
      <w:bookmarkEnd w:id="97"/>
      <w:r>
        <w:rPr/>
        <w:t>Comment utiliser efficacement cette procédure</w:t>
      </w:r>
    </w:p>
    <w:p>
      <w:pPr>
        <w:pStyle w:val="TextBody"/>
        <w:rPr/>
      </w:pPr>
      <w:r>
        <w:rPr>
          <w:rStyle w:val="StrongEmphasis"/>
        </w:rPr>
        <w:t>Cette procédure est un guide opérationnel détaillé qui doit être suivi pas-à-pas.</w:t>
      </w:r>
      <w:r>
        <w:rPr/>
        <w:t xml:space="preserve"> Contrairement au document DOC-REF-01 qui est un référentiel définissant les standards techniques, cette procédure PROC-01 vous guide étape par étape à travers le processus complet de mise en service d'un serveur.</w:t>
      </w:r>
    </w:p>
    <w:p>
      <w:pPr>
        <w:pStyle w:val="TextBody"/>
        <w:rPr/>
      </w:pPr>
      <w:r>
        <w:rPr>
          <w:rStyle w:val="StrongEmphasis"/>
        </w:rPr>
        <w:t>Les bonnes pratiques pour utiliser cette procédure sont les suivantes :</w:t>
      </w:r>
    </w:p>
    <w:p>
      <w:pPr>
        <w:pStyle w:val="TextBody"/>
        <w:rPr/>
      </w:pPr>
      <w:r>
        <w:rPr/>
        <w:t>Avant de commencer, imprimez la checklist rapide fournie en Annexe A pour avoir une vue d'ensemble et pouvoir cocher les étapes au fur et à mesure. Suivez rigoureusement les étapes dans l'ordre indiqué car de nombreuses étapes dépendent de la bonne exécution des étapes précédentes. Cochez chaque case de validation au fur et à mesure pour être certain de ne rien oublier. Lorsque vous avez besoin de détails techniques approfondis sur une configuration spécifique, consultez le document DOC-REF-01 en utilisant les références [REF-XXX] indiquées. À la fin de la procédure, enregistrez toutes les informations du serveur dans le registre central DOC-OPS-01.</w:t>
      </w:r>
    </w:p>
    <w:p>
      <w:pPr>
        <w:pStyle w:val="TextBody"/>
        <w:rPr/>
      </w:pPr>
      <w:r>
        <w:rPr>
          <w:rStyle w:val="StrongEmphasis"/>
        </w:rPr>
        <w:t>En cas de doute ou de question pendant l'exécution de la procédure :</w:t>
      </w:r>
    </w:p>
    <w:p>
      <w:pPr>
        <w:pStyle w:val="TextBody"/>
        <w:rPr/>
      </w:pPr>
      <w:r>
        <w:rPr/>
        <w:t>Si vous avez besoin de plus de détails sur une configuration technique spécifique, consultez le document DOC-REF-01 qui fournit toutes les explications approfondies. Si le serveur traitera des données personnelles, consultez le document DOC-REF-03 pour comprendre toutes les mesures APDP à appliquer. Ne sautez JAMAIS une étape marquée avec le symbole  (ATTENTION ou CRITIQUE) car ces étapes sont absolument essentielles pour la sécurité ou la conformité.</w:t>
      </w:r>
    </w:p>
    <w:p>
      <w:pPr>
        <w:pStyle w:val="TextBody"/>
        <w:rPr/>
      </w:pPr>
      <w:r>
        <w:rPr>
          <w:rStyle w:val="StrongEmphasis"/>
        </w:rPr>
        <w:t>Si vous rencontrez un problème technique pendant la procédure :</w:t>
      </w:r>
    </w:p>
    <w:p>
      <w:pPr>
        <w:pStyle w:val="TextBody"/>
        <w:rPr/>
      </w:pPr>
      <w:r>
        <w:rPr/>
        <w:t>Pour les problèmes liés à la configuration SSH qui pourraient vous bloquer l'accès, assurez-vous d'avoir toujours une session SSH ouverte avant de modifier la configuration, comme indiqué dans la procédure. Pour les problèmes liés au pare-feu UFW, vérifiez que vous avez bien autorisé le port SSH avant d'activer le pare-feu. Pour tout autre problème technique, consultez d'abord le document DOC-REF-01 pour voir si une explication détaillée y figure, puis contactez le support si nécessaire.</w:t>
      </w:r>
    </w:p>
    <w:p>
      <w:pPr>
        <w:pStyle w:val="Heading2"/>
        <w:rPr/>
      </w:pPr>
      <w:bookmarkStart w:id="98" w:name="__RefHeading___Toc9287_2601441312"/>
      <w:bookmarkEnd w:id="98"/>
      <w:r>
        <w:rPr/>
        <w:t>Améliorations futures prévues</w:t>
      </w:r>
    </w:p>
    <w:p>
      <w:pPr>
        <w:pStyle w:val="TextBody"/>
        <w:rPr/>
      </w:pPr>
      <w:r>
        <w:rPr>
          <w:rStyle w:val="StrongEmphasis"/>
        </w:rPr>
        <w:t>La version 1.1 de cette procédure est prévue dans 6 mois</w:t>
      </w:r>
      <w:r>
        <w:rPr/>
        <w:t xml:space="preserve"> et inclura les améliorations suivantes basées sur les retours d'expérience :</w:t>
      </w:r>
    </w:p>
    <w:p>
      <w:pPr>
        <w:pStyle w:val="TextBody"/>
        <w:rPr/>
      </w:pPr>
      <w:r>
        <w:rPr/>
        <w:t>Des scripts d'automatisation seront ajoutés pour accélérer certaines étapes répétitives de la configuration. Une intégration potentielle avec des outils d'automatisation comme Ansible ou Puppet sera étudiée si cela s'avère pertinent pour l'entreprise. Les retours d'expérience du terrain seront intégrés pour améliorer les instructions qui se sont révélées peu claires ou incomplètes. Les temps réels mesurés lors des mises en service effectuées avec cette procédure seront utilisés pour affiner les estimations de durée.</w:t>
      </w:r>
    </w:p>
    <w:p>
      <w:pPr>
        <w:pStyle w:val="TextBody"/>
        <w:spacing w:before="0" w:after="140"/>
        <w:rPr/>
      </w:pPr>
      <w:r>
        <w:rPr>
          <w:rStyle w:val="StrongEmphasis"/>
        </w:rPr>
        <w:t>Nous vous encourageons vivement à faire des retours sur cette procédure.</w:t>
      </w:r>
      <w:r>
        <w:rPr/>
        <w:t xml:space="preserve"> Si vous identifiez des étapes qui pourraient être clarifiées, des erreurs à corriger, ou des améliorations à apporter, veuillez documenter vos suggestions pour qu'elles puissent être intégrées dans la prochaine version.</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Calibri Light">
    <w:charset w:val="01"/>
    <w:family w:val="roman"/>
    <w:pitch w:val="variable"/>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240" w:after="0"/>
      <w:rPr>
        <w:color w:val="2DA333"/>
      </w:rPr>
    </w:pPr>
    <w:r>
      <w:rPr>
        <w:color w:val="2DA333"/>
      </w:rPr>
      <w:drawing>
        <wp:anchor behindDoc="1" distT="0" distB="0" distL="0" distR="0" simplePos="0" locked="0" layoutInCell="0" allowOverlap="1" relativeHeight="83">
          <wp:simplePos x="0" y="0"/>
          <wp:positionH relativeFrom="page">
            <wp:align>left</wp:align>
          </wp:positionH>
          <wp:positionV relativeFrom="paragraph">
            <wp:posOffset>-68580</wp:posOffset>
          </wp:positionV>
          <wp:extent cx="7359015" cy="590550"/>
          <wp:effectExtent l="0" t="0" r="0" b="0"/>
          <wp:wrapNone/>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240" w:after="0"/>
      <w:rPr/>
    </w:pPr>
    <w:r>
      <w:rPr/>
      <w:drawing>
        <wp:anchor behindDoc="1" distT="0" distB="0" distL="0" distR="0" simplePos="0" locked="0" layoutInCell="0" allowOverlap="1" relativeHeight="42">
          <wp:simplePos x="0" y="0"/>
          <wp:positionH relativeFrom="page">
            <wp:posOffset>218440</wp:posOffset>
          </wp:positionH>
          <wp:positionV relativeFrom="paragraph">
            <wp:posOffset>-217170</wp:posOffset>
          </wp:positionV>
          <wp:extent cx="7080885" cy="450215"/>
          <wp:effectExtent l="0" t="0" r="0" b="0"/>
          <wp:wrapNone/>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9">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1">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3">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4">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5">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6">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7">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8">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9">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0">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1">
    <w:lvl w:ilvl="0">
      <w:start w:val="1"/>
      <w:numFmt w:val="bullet"/>
      <w:lvlText w:val=""/>
      <w:lvlJc w:val="left"/>
      <w:pPr>
        <w:tabs>
          <w:tab w:val="num" w:pos="709"/>
        </w:tabs>
        <w:ind w:left="709" w:hanging="283"/>
      </w:pPr>
      <w:rPr>
        <w:rFonts w:ascii="Symbol" w:hAnsi="Symbol" w:cs="Symbol" w:hint="default"/>
        <w:color w:val="00A9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3">
    <w:lvl w:ilvl="0">
      <w:start w:val="1"/>
      <w:numFmt w:val="bullet"/>
      <w:lvlText w:val=""/>
      <w:lvlJc w:val="left"/>
      <w:pPr>
        <w:tabs>
          <w:tab w:val="num" w:pos="677"/>
        </w:tabs>
        <w:ind w:left="720" w:hanging="360"/>
      </w:pPr>
      <w:rPr>
        <w:rFonts w:ascii="Symbol" w:hAnsi="Symbol" w:cs="Symbol" w:hint="default"/>
        <w:color w:val="00A933"/>
      </w:rPr>
    </w:lvl>
    <w:lvl w:ilvl="1">
      <w:start w:val="1"/>
      <w:numFmt w:val="bullet"/>
      <w:lvlText w:val="◦"/>
      <w:lvlJc w:val="left"/>
      <w:pPr>
        <w:tabs>
          <w:tab w:val="num" w:pos="1080"/>
        </w:tabs>
        <w:ind w:left="1080" w:hanging="360"/>
      </w:pPr>
      <w:rPr>
        <w:rFonts w:ascii="OpenSymbol" w:hAnsi="OpenSymbol" w:cs="OpenSymbol" w:hint="default"/>
        <w:color w:val="00A933"/>
      </w:rPr>
    </w:lvl>
    <w:lvl w:ilvl="2">
      <w:start w:val="1"/>
      <w:numFmt w:val="bullet"/>
      <w:lvlText w:val="▪"/>
      <w:lvlJc w:val="left"/>
      <w:pPr>
        <w:tabs>
          <w:tab w:val="num" w:pos="1440"/>
        </w:tabs>
        <w:ind w:left="1440" w:hanging="360"/>
      </w:pPr>
      <w:rPr>
        <w:rFonts w:ascii="OpenSymbol" w:hAnsi="OpenSymbol" w:cs="OpenSymbol" w:hint="default"/>
        <w:color w:val="00A933"/>
      </w:rPr>
    </w:lvl>
    <w:lvl w:ilvl="3">
      <w:start w:val="1"/>
      <w:numFmt w:val="bullet"/>
      <w:lvlText w:val=""/>
      <w:lvlJc w:val="left"/>
      <w:pPr>
        <w:tabs>
          <w:tab w:val="num" w:pos="1800"/>
        </w:tabs>
        <w:ind w:left="1800" w:hanging="360"/>
      </w:pPr>
      <w:rPr>
        <w:rFonts w:ascii="Symbol" w:hAnsi="Symbol" w:cs="Symbol" w:hint="default"/>
        <w:color w:val="00A933"/>
      </w:rPr>
    </w:lvl>
    <w:lvl w:ilvl="4">
      <w:start w:val="1"/>
      <w:numFmt w:val="bullet"/>
      <w:lvlText w:val="◦"/>
      <w:lvlJc w:val="left"/>
      <w:pPr>
        <w:tabs>
          <w:tab w:val="num" w:pos="2160"/>
        </w:tabs>
        <w:ind w:left="2160" w:hanging="360"/>
      </w:pPr>
      <w:rPr>
        <w:rFonts w:ascii="OpenSymbol" w:hAnsi="OpenSymbol" w:cs="OpenSymbol" w:hint="default"/>
        <w:color w:val="00A933"/>
      </w:rPr>
    </w:lvl>
    <w:lvl w:ilvl="5">
      <w:start w:val="1"/>
      <w:numFmt w:val="bullet"/>
      <w:lvlText w:val="▪"/>
      <w:lvlJc w:val="left"/>
      <w:pPr>
        <w:tabs>
          <w:tab w:val="num" w:pos="2520"/>
        </w:tabs>
        <w:ind w:left="2520" w:hanging="360"/>
      </w:pPr>
      <w:rPr>
        <w:rFonts w:ascii="OpenSymbol" w:hAnsi="OpenSymbol" w:cs="OpenSymbol" w:hint="default"/>
        <w:color w:val="00A933"/>
      </w:rPr>
    </w:lvl>
    <w:lvl w:ilvl="6">
      <w:start w:val="1"/>
      <w:numFmt w:val="bullet"/>
      <w:lvlText w:val=""/>
      <w:lvlJc w:val="left"/>
      <w:pPr>
        <w:tabs>
          <w:tab w:val="num" w:pos="2880"/>
        </w:tabs>
        <w:ind w:left="2880" w:hanging="360"/>
      </w:pPr>
      <w:rPr>
        <w:rFonts w:ascii="Symbol" w:hAnsi="Symbol" w:cs="Symbol" w:hint="default"/>
        <w:color w:val="00A933"/>
      </w:rPr>
    </w:lvl>
    <w:lvl w:ilvl="7">
      <w:start w:val="1"/>
      <w:numFmt w:val="bullet"/>
      <w:lvlText w:val="◦"/>
      <w:lvlJc w:val="left"/>
      <w:pPr>
        <w:tabs>
          <w:tab w:val="num" w:pos="3240"/>
        </w:tabs>
        <w:ind w:left="3240" w:hanging="360"/>
      </w:pPr>
      <w:rPr>
        <w:rFonts w:ascii="OpenSymbol" w:hAnsi="OpenSymbol" w:cs="OpenSymbol" w:hint="default"/>
        <w:color w:val="00A933"/>
      </w:rPr>
    </w:lvl>
    <w:lvl w:ilvl="8">
      <w:start w:val="1"/>
      <w:numFmt w:val="bullet"/>
      <w:lvlText w:val="▪"/>
      <w:lvlJc w:val="left"/>
      <w:pPr>
        <w:tabs>
          <w:tab w:val="num" w:pos="3600"/>
        </w:tabs>
        <w:ind w:left="3600" w:hanging="360"/>
      </w:pPr>
      <w:rPr>
        <w:rFonts w:ascii="OpenSymbol" w:hAnsi="OpenSymbol" w:cs="OpenSymbol" w:hint="default"/>
        <w:color w:val="00A933"/>
      </w:rPr>
    </w:lvl>
  </w:abstractNum>
  <w:abstractNum w:abstractNumId="64">
    <w:lvl w:ilvl="0">
      <w:start w:val="1"/>
      <w:numFmt w:val="bullet"/>
      <w:lvlText w:val=""/>
      <w:lvlJc w:val="left"/>
      <w:pPr>
        <w:tabs>
          <w:tab w:val="num" w:pos="720"/>
        </w:tabs>
        <w:ind w:left="720" w:hanging="360"/>
      </w:pPr>
      <w:rPr>
        <w:rFonts w:ascii="Symbol" w:hAnsi="Symbol" w:cs="Symbol" w:hint="default"/>
        <w:color w:val="00A933"/>
      </w:rPr>
    </w:lvl>
    <w:lvl w:ilvl="1">
      <w:start w:val="1"/>
      <w:numFmt w:val="bullet"/>
      <w:lvlText w:val="◦"/>
      <w:lvlJc w:val="left"/>
      <w:pPr>
        <w:tabs>
          <w:tab w:val="num" w:pos="1080"/>
        </w:tabs>
        <w:ind w:left="1080" w:hanging="360"/>
      </w:pPr>
      <w:rPr>
        <w:rFonts w:ascii="OpenSymbol" w:hAnsi="OpenSymbol" w:cs="OpenSymbol" w:hint="default"/>
        <w:color w:val="00A933"/>
      </w:rPr>
    </w:lvl>
    <w:lvl w:ilvl="2">
      <w:start w:val="1"/>
      <w:numFmt w:val="bullet"/>
      <w:lvlText w:val="▪"/>
      <w:lvlJc w:val="left"/>
      <w:pPr>
        <w:tabs>
          <w:tab w:val="num" w:pos="1440"/>
        </w:tabs>
        <w:ind w:left="1440" w:hanging="360"/>
      </w:pPr>
      <w:rPr>
        <w:rFonts w:ascii="OpenSymbol" w:hAnsi="OpenSymbol" w:cs="OpenSymbol" w:hint="default"/>
        <w:color w:val="00A933"/>
      </w:rPr>
    </w:lvl>
    <w:lvl w:ilvl="3">
      <w:start w:val="1"/>
      <w:numFmt w:val="bullet"/>
      <w:lvlText w:val=""/>
      <w:lvlJc w:val="left"/>
      <w:pPr>
        <w:tabs>
          <w:tab w:val="num" w:pos="1800"/>
        </w:tabs>
        <w:ind w:left="1800" w:hanging="360"/>
      </w:pPr>
      <w:rPr>
        <w:rFonts w:ascii="Symbol" w:hAnsi="Symbol" w:cs="Symbol" w:hint="default"/>
        <w:color w:val="00A933"/>
      </w:rPr>
    </w:lvl>
    <w:lvl w:ilvl="4">
      <w:start w:val="1"/>
      <w:numFmt w:val="bullet"/>
      <w:lvlText w:val="◦"/>
      <w:lvlJc w:val="left"/>
      <w:pPr>
        <w:tabs>
          <w:tab w:val="num" w:pos="2160"/>
        </w:tabs>
        <w:ind w:left="2160" w:hanging="360"/>
      </w:pPr>
      <w:rPr>
        <w:rFonts w:ascii="OpenSymbol" w:hAnsi="OpenSymbol" w:cs="OpenSymbol" w:hint="default"/>
        <w:color w:val="00A933"/>
      </w:rPr>
    </w:lvl>
    <w:lvl w:ilvl="5">
      <w:start w:val="1"/>
      <w:numFmt w:val="bullet"/>
      <w:lvlText w:val="▪"/>
      <w:lvlJc w:val="left"/>
      <w:pPr>
        <w:tabs>
          <w:tab w:val="num" w:pos="2520"/>
        </w:tabs>
        <w:ind w:left="2520" w:hanging="360"/>
      </w:pPr>
      <w:rPr>
        <w:rFonts w:ascii="OpenSymbol" w:hAnsi="OpenSymbol" w:cs="OpenSymbol" w:hint="default"/>
        <w:color w:val="00A933"/>
      </w:rPr>
    </w:lvl>
    <w:lvl w:ilvl="6">
      <w:start w:val="1"/>
      <w:numFmt w:val="bullet"/>
      <w:lvlText w:val=""/>
      <w:lvlJc w:val="left"/>
      <w:pPr>
        <w:tabs>
          <w:tab w:val="num" w:pos="2880"/>
        </w:tabs>
        <w:ind w:left="2880" w:hanging="360"/>
      </w:pPr>
      <w:rPr>
        <w:rFonts w:ascii="Symbol" w:hAnsi="Symbol" w:cs="Symbol" w:hint="default"/>
        <w:color w:val="00A933"/>
      </w:rPr>
    </w:lvl>
    <w:lvl w:ilvl="7">
      <w:start w:val="1"/>
      <w:numFmt w:val="bullet"/>
      <w:lvlText w:val="◦"/>
      <w:lvlJc w:val="left"/>
      <w:pPr>
        <w:tabs>
          <w:tab w:val="num" w:pos="3240"/>
        </w:tabs>
        <w:ind w:left="3240" w:hanging="360"/>
      </w:pPr>
      <w:rPr>
        <w:rFonts w:ascii="OpenSymbol" w:hAnsi="OpenSymbol" w:cs="OpenSymbol" w:hint="default"/>
        <w:color w:val="00A933"/>
      </w:rPr>
    </w:lvl>
    <w:lvl w:ilvl="8">
      <w:start w:val="1"/>
      <w:numFmt w:val="bullet"/>
      <w:lvlText w:val="▪"/>
      <w:lvlJc w:val="left"/>
      <w:pPr>
        <w:tabs>
          <w:tab w:val="num" w:pos="3600"/>
        </w:tabs>
        <w:ind w:left="3600" w:hanging="360"/>
      </w:pPr>
      <w:rPr>
        <w:rFonts w:ascii="OpenSymbol" w:hAnsi="OpenSymbol" w:cs="OpenSymbol" w:hint="default"/>
        <w:color w:val="00A933"/>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lineRule="auto" w:line="276" w:before="240" w:after="240"/>
      <w:jc w:val="both"/>
    </w:pPr>
    <w:rPr>
      <w:rFonts w:ascii="Times New Roman" w:hAnsi="Times New Roman" w:eastAsia="Calibri" w:cs="DejaVu Sans"/>
      <w:color w:val="auto"/>
      <w:kern w:val="0"/>
      <w:sz w:val="24"/>
      <w:szCs w:val="32"/>
      <w:lang w:val="fr-FR" w:eastAsia="en-US" w:bidi="ar-SA"/>
    </w:rPr>
  </w:style>
  <w:style w:type="paragraph" w:styleId="Heading1">
    <w:name w:val="Heading 1"/>
    <w:basedOn w:val="Normal"/>
    <w:next w:val="Normal"/>
    <w:link w:val="Titre1Car"/>
    <w:qFormat/>
    <w:pPr>
      <w:keepNext w:val="true"/>
      <w:keepLines/>
      <w:numPr>
        <w:ilvl w:val="0"/>
        <w:numId w:val="0"/>
      </w:numPr>
      <w:outlineLvl w:val="0"/>
    </w:pPr>
    <w:rPr>
      <w:rFonts w:eastAsia="Calibri" w:cs="DejaVu Sans"/>
      <w:b/>
      <w:caps/>
      <w:color w:val="014276"/>
      <w:sz w:val="32"/>
      <w:u w:val="single"/>
    </w:rPr>
  </w:style>
  <w:style w:type="paragraph" w:styleId="Heading2">
    <w:name w:val="Heading 2"/>
    <w:basedOn w:val="Normal"/>
    <w:next w:val="Normal"/>
    <w:link w:val="Titre2Car"/>
    <w:qFormat/>
    <w:pPr>
      <w:keepNext w:val="true"/>
      <w:keepLines/>
      <w:numPr>
        <w:ilvl w:val="0"/>
        <w:numId w:val="0"/>
      </w:numPr>
      <w:outlineLvl w:val="1"/>
    </w:pPr>
    <w:rPr>
      <w:rFonts w:eastAsia="Calibri" w:cs="DejaVu Sans"/>
      <w:b/>
      <w:color w:val="0072CE"/>
      <w:sz w:val="28"/>
      <w:szCs w:val="26"/>
    </w:rPr>
  </w:style>
  <w:style w:type="paragraph" w:styleId="Heading3">
    <w:name w:val="Heading 3"/>
    <w:basedOn w:val="Normal"/>
    <w:next w:val="Normal"/>
    <w:link w:val="Titre3Car"/>
    <w:qFormat/>
    <w:pPr>
      <w:keepNext w:val="true"/>
      <w:keepLines/>
      <w:numPr>
        <w:ilvl w:val="0"/>
        <w:numId w:val="0"/>
      </w:numPr>
      <w:spacing w:before="40" w:after="0"/>
      <w:outlineLvl w:val="2"/>
    </w:pPr>
    <w:rPr>
      <w:rFonts w:eastAsia="Calibri" w:cs="DejaVu Sans"/>
      <w:b/>
      <w:color w:val="014276"/>
      <w:szCs w:val="24"/>
    </w:rPr>
  </w:style>
  <w:style w:type="paragraph" w:styleId="Heading4">
    <w:name w:val="Heading 4"/>
    <w:link w:val="Titre4Car"/>
    <w:qFormat/>
    <w:pPr>
      <w:widowControl/>
      <w:numPr>
        <w:ilvl w:val="0"/>
        <w:numId w:val="0"/>
      </w:numPr>
      <w:suppressAutoHyphens w:val="true"/>
      <w:kinsoku w:val="true"/>
      <w:overflowPunct w:val="true"/>
      <w:autoSpaceDE w:val="true"/>
      <w:bidi w:val="0"/>
      <w:spacing w:lineRule="auto" w:line="240" w:before="0" w:after="0"/>
      <w:jc w:val="left"/>
      <w:outlineLvl w:val="3"/>
    </w:pPr>
    <w:rPr>
      <w:rFonts w:ascii="Arial" w:hAnsi="Arial" w:eastAsia="Arial" w:cs="Arial"/>
      <w:i/>
      <w:iCs/>
      <w:color w:val="2E74B5"/>
      <w:kern w:val="0"/>
      <w:sz w:val="22"/>
      <w:szCs w:val="22"/>
      <w:lang w:val="fr-FR" w:eastAsia="fr-FR" w:bidi="ar-SA"/>
    </w:rPr>
  </w:style>
  <w:style w:type="paragraph" w:styleId="Heading5">
    <w:name w:val="Heading 5"/>
    <w:link w:val="Titre5Car"/>
    <w:qFormat/>
    <w:pPr>
      <w:widowControl/>
      <w:numPr>
        <w:ilvl w:val="0"/>
        <w:numId w:val="0"/>
      </w:numPr>
      <w:suppressAutoHyphens w:val="true"/>
      <w:kinsoku w:val="true"/>
      <w:overflowPunct w:val="true"/>
      <w:autoSpaceDE w:val="true"/>
      <w:bidi w:val="0"/>
      <w:spacing w:lineRule="auto" w:line="240" w:before="0" w:after="0"/>
      <w:jc w:val="left"/>
      <w:outlineLvl w:val="4"/>
    </w:pPr>
    <w:rPr>
      <w:rFonts w:ascii="Arial" w:hAnsi="Arial" w:eastAsia="Arial" w:cs="Arial"/>
      <w:color w:val="2E74B5"/>
      <w:kern w:val="0"/>
      <w:sz w:val="22"/>
      <w:szCs w:val="22"/>
      <w:lang w:val="fr-FR" w:eastAsia="fr-FR" w:bidi="ar-SA"/>
    </w:rPr>
  </w:style>
  <w:style w:type="paragraph" w:styleId="Heading6">
    <w:name w:val="Heading 6"/>
    <w:link w:val="Titre6Car"/>
    <w:qFormat/>
    <w:pPr>
      <w:widowControl/>
      <w:numPr>
        <w:ilvl w:val="0"/>
        <w:numId w:val="0"/>
      </w:numPr>
      <w:suppressAutoHyphens w:val="true"/>
      <w:kinsoku w:val="true"/>
      <w:overflowPunct w:val="true"/>
      <w:autoSpaceDE w:val="true"/>
      <w:bidi w:val="0"/>
      <w:spacing w:lineRule="auto" w:line="240" w:before="0" w:after="0"/>
      <w:jc w:val="left"/>
      <w:outlineLvl w:val="5"/>
    </w:pPr>
    <w:rPr>
      <w:rFonts w:ascii="Arial" w:hAnsi="Arial" w:eastAsia="Arial" w:cs="Arial"/>
      <w:color w:val="1F4D78"/>
      <w:kern w:val="0"/>
      <w:sz w:val="22"/>
      <w:szCs w:val="22"/>
      <w:lang w:val="fr-FR" w:eastAsia="fr-FR" w:bidi="ar-SA"/>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Titre1Car">
    <w:name w:val="Titre 1 Car"/>
    <w:basedOn w:val="DefaultParagraphFont"/>
    <w:link w:val="Heading1"/>
    <w:qFormat/>
    <w:rPr>
      <w:rFonts w:ascii="Times New Roman" w:hAnsi="Times New Roman" w:eastAsia="Calibri" w:cs="DejaVu Sans"/>
      <w:b/>
      <w:caps/>
      <w:color w:val="014276"/>
      <w:u w:val="single"/>
    </w:rPr>
  </w:style>
  <w:style w:type="character" w:styleId="Titre2Car">
    <w:name w:val="Titre 2 Car"/>
    <w:basedOn w:val="DefaultParagraphFont"/>
    <w:link w:val="Heading2"/>
    <w:qFormat/>
    <w:rPr>
      <w:rFonts w:ascii="Times New Roman" w:hAnsi="Times New Roman" w:eastAsia="Calibri" w:cs="DejaVu Sans"/>
      <w:b/>
      <w:color w:val="0072CE"/>
      <w:sz w:val="28"/>
      <w:szCs w:val="26"/>
    </w:rPr>
  </w:style>
  <w:style w:type="character" w:styleId="TitreCar">
    <w:name w:val="Titre Car"/>
    <w:basedOn w:val="DefaultParagraphFont"/>
    <w:link w:val="Title"/>
    <w:qFormat/>
    <w:rPr>
      <w:rFonts w:ascii="Times New Roman" w:hAnsi="Times New Roman" w:eastAsia="Calibri" w:cs="DejaVu Sans"/>
      <w:b/>
      <w:spacing w:val="-10"/>
      <w:kern w:val="2"/>
      <w:sz w:val="56"/>
      <w:szCs w:val="56"/>
      <w:u w:val="single"/>
    </w:rPr>
  </w:style>
  <w:style w:type="character" w:styleId="Titre3Car">
    <w:name w:val="Titre 3 Car"/>
    <w:basedOn w:val="DefaultParagraphFont"/>
    <w:link w:val="Heading3"/>
    <w:qFormat/>
    <w:rPr>
      <w:rFonts w:ascii="Times New Roman" w:hAnsi="Times New Roman" w:eastAsia="Calibri" w:cs="DejaVu Sans"/>
      <w:b/>
      <w:sz w:val="24"/>
      <w:szCs w:val="24"/>
    </w:rPr>
  </w:style>
  <w:style w:type="character" w:styleId="Titre4Car">
    <w:name w:val="Titre 4 Car"/>
    <w:basedOn w:val="DefaultParagraphFont"/>
    <w:link w:val="Heading4"/>
    <w:qFormat/>
    <w:rPr>
      <w:rFonts w:ascii="Arial" w:hAnsi="Arial" w:eastAsia="Arial" w:cs="Arial"/>
      <w:i/>
      <w:iCs/>
      <w:color w:val="2E74B5"/>
      <w:sz w:val="22"/>
      <w:szCs w:val="22"/>
      <w:lang w:eastAsia="fr-FR"/>
    </w:rPr>
  </w:style>
  <w:style w:type="character" w:styleId="Titre5Car">
    <w:name w:val="Titre 5 Car"/>
    <w:basedOn w:val="DefaultParagraphFont"/>
    <w:link w:val="Heading5"/>
    <w:qFormat/>
    <w:rPr>
      <w:rFonts w:ascii="Arial" w:hAnsi="Arial" w:eastAsia="Arial" w:cs="Arial"/>
      <w:color w:val="2E74B5"/>
      <w:sz w:val="22"/>
      <w:szCs w:val="22"/>
      <w:lang w:eastAsia="fr-FR"/>
    </w:rPr>
  </w:style>
  <w:style w:type="character" w:styleId="Titre6Car">
    <w:name w:val="Titre 6 Car"/>
    <w:basedOn w:val="DefaultParagraphFont"/>
    <w:link w:val="Heading6"/>
    <w:qFormat/>
    <w:rPr>
      <w:rFonts w:ascii="Arial" w:hAnsi="Arial" w:eastAsia="Arial" w:cs="Arial"/>
      <w:color w:val="1F4D78"/>
      <w:sz w:val="22"/>
      <w:szCs w:val="22"/>
      <w:lang w:eastAsia="fr-FR"/>
    </w:rPr>
  </w:style>
  <w:style w:type="character" w:styleId="InternetLink">
    <w:name w:val="Hyperlink"/>
    <w:rPr>
      <w:color w:val="0563C1"/>
      <w:u w:val="singl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NotedebasdepageCar">
    <w:name w:val="Note de bas de page Car"/>
    <w:basedOn w:val="DefaultParagraphFont"/>
    <w:link w:val="Footnote"/>
    <w:qFormat/>
    <w:rPr>
      <w:rFonts w:ascii="Arial" w:hAnsi="Arial" w:eastAsia="Arial" w:cs="Arial"/>
      <w:sz w:val="20"/>
      <w:szCs w:val="20"/>
      <w:lang w:eastAsia="fr-FR"/>
    </w:rPr>
  </w:style>
  <w:style w:type="character" w:styleId="UnresolvedMention">
    <w:name w:val="Unresolved Mention"/>
    <w:basedOn w:val="DefaultParagraphFont"/>
    <w:qFormat/>
    <w:rPr>
      <w:color w:val="605E5C"/>
      <w:shd w:fill="E1DFDD" w:val="clear"/>
    </w:rPr>
  </w:style>
  <w:style w:type="character" w:styleId="StrongEmphasis">
    <w:name w:val="Strong Emphasis"/>
    <w:qFormat/>
    <w:rPr>
      <w:b/>
      <w:bCs/>
    </w:rPr>
  </w:style>
  <w:style w:type="character" w:styleId="Bullets">
    <w:name w:val="Bullets"/>
    <w:qFormat/>
    <w:rPr>
      <w:rFonts w:ascii="OpenSymbol" w:hAnsi="OpenSymbol" w:eastAsia="OpenSymbol" w:cs="OpenSymbol"/>
      <w:color w:val="00A933"/>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IndexLink">
    <w:name w:val="Index Link"/>
    <w:qFormat/>
    <w:rPr/>
  </w:style>
  <w:style w:type="character" w:styleId="CaptionCharacters">
    <w:name w:val="Caption Characters"/>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240" w:after="0"/>
    </w:pPr>
    <w:rPr/>
  </w:style>
  <w:style w:type="paragraph" w:styleId="Footer">
    <w:name w:val="Footer"/>
    <w:basedOn w:val="Normal"/>
    <w:link w:val="PieddepageCar"/>
    <w:pPr>
      <w:tabs>
        <w:tab w:val="clear" w:pos="708"/>
        <w:tab w:val="center" w:pos="4536" w:leader="none"/>
        <w:tab w:val="right" w:pos="9072" w:leader="none"/>
      </w:tabs>
      <w:spacing w:lineRule="auto" w:line="240" w:before="240" w:after="0"/>
    </w:pPr>
    <w:rPr/>
  </w:style>
  <w:style w:type="paragraph" w:styleId="Title">
    <w:name w:val="Title"/>
    <w:basedOn w:val="Normal"/>
    <w:next w:val="Normal"/>
    <w:link w:val="TitreCar"/>
    <w:qFormat/>
    <w:pPr>
      <w:spacing w:lineRule="auto" w:line="240" w:before="240" w:after="0"/>
      <w:contextualSpacing/>
      <w:jc w:val="center"/>
    </w:pPr>
    <w:rPr>
      <w:rFonts w:eastAsia="Calibri" w:cs="DejaVu Sans"/>
      <w:b/>
      <w:spacing w:val="-10"/>
      <w:kern w:val="2"/>
      <w:sz w:val="56"/>
      <w:szCs w:val="56"/>
      <w:u w:val="single"/>
    </w:rPr>
  </w:style>
  <w:style w:type="paragraph" w:styleId="Lev1">
    <w:name w:val="Élevé1"/>
    <w:qFormat/>
    <w:pPr>
      <w:widowControl/>
      <w:suppressAutoHyphens w:val="true"/>
      <w:kinsoku w:val="true"/>
      <w:overflowPunct w:val="true"/>
      <w:autoSpaceDE w:val="true"/>
      <w:bidi w:val="0"/>
      <w:spacing w:lineRule="auto" w:line="240" w:before="0" w:after="0"/>
      <w:jc w:val="left"/>
    </w:pPr>
    <w:rPr>
      <w:rFonts w:ascii="Arial" w:hAnsi="Arial" w:eastAsia="Arial" w:cs="Arial"/>
      <w:b/>
      <w:bCs/>
      <w:color w:val="auto"/>
      <w:kern w:val="0"/>
      <w:sz w:val="22"/>
      <w:szCs w:val="22"/>
      <w:lang w:val="fr-FR" w:eastAsia="fr-FR" w:bidi="ar-SA"/>
    </w:rPr>
  </w:style>
  <w:style w:type="paragraph" w:styleId="ListParagraph">
    <w:name w:val="List Paragraph"/>
    <w:qFormat/>
    <w:pPr>
      <w:widowControl/>
      <w:suppressAutoHyphens w:val="true"/>
      <w:kinsoku w:val="true"/>
      <w:overflowPunct w:val="true"/>
      <w:autoSpaceDE w:val="true"/>
      <w:bidi w:val="0"/>
      <w:spacing w:lineRule="auto" w:line="240" w:before="120" w:after="240"/>
      <w:jc w:val="both"/>
    </w:pPr>
    <w:rPr>
      <w:rFonts w:ascii="Times New Roman" w:hAnsi="Times New Roman" w:eastAsia="Arial" w:cs="Arial"/>
      <w:color w:val="auto"/>
      <w:kern w:val="0"/>
      <w:sz w:val="24"/>
      <w:szCs w:val="22"/>
      <w:lang w:val="fr-FR" w:eastAsia="fr-FR" w:bidi="ar-SA"/>
    </w:rPr>
  </w:style>
  <w:style w:type="paragraph" w:styleId="Footnote">
    <w:name w:val="Footnote Text"/>
    <w:link w:val="NotedebasdepageCar"/>
    <w:pPr>
      <w:widowControl/>
      <w:suppressAutoHyphens w:val="true"/>
      <w:kinsoku w:val="true"/>
      <w:overflowPunct w:val="true"/>
      <w:autoSpaceDE w:val="true"/>
      <w:bidi w:val="0"/>
      <w:spacing w:lineRule="auto" w:line="240" w:before="0" w:after="0"/>
      <w:jc w:val="left"/>
    </w:pPr>
    <w:rPr>
      <w:rFonts w:ascii="Arial" w:hAnsi="Arial" w:eastAsia="Arial" w:cs="Arial"/>
      <w:color w:val="auto"/>
      <w:kern w:val="0"/>
      <w:sz w:val="20"/>
      <w:szCs w:val="20"/>
      <w:lang w:val="fr-FR" w:eastAsia="fr-FR" w:bidi="ar-SA"/>
    </w:rPr>
  </w:style>
  <w:style w:type="paragraph" w:styleId="Contents1">
    <w:name w:val="TOC 1"/>
    <w:basedOn w:val="Normal"/>
    <w:next w:val="Normal"/>
    <w:autoRedefine/>
    <w:pPr>
      <w:tabs>
        <w:tab w:val="clear" w:pos="708"/>
        <w:tab w:val="right" w:pos="9376" w:leader="dot"/>
      </w:tabs>
      <w:spacing w:lineRule="auto" w:line="240" w:before="240" w:after="100"/>
    </w:pPr>
    <w:rPr>
      <w:rFonts w:eastAsia="Arial" w:cs="Arial"/>
      <w:szCs w:val="22"/>
      <w:lang w:eastAsia="fr-FR"/>
    </w:rPr>
  </w:style>
  <w:style w:type="paragraph" w:styleId="Contents2">
    <w:name w:val="TOC 2"/>
    <w:basedOn w:val="Normal"/>
    <w:next w:val="Normal"/>
    <w:autoRedefine/>
    <w:pPr>
      <w:tabs>
        <w:tab w:val="clear" w:pos="708"/>
        <w:tab w:val="right" w:pos="9062" w:leader="dot"/>
      </w:tabs>
      <w:spacing w:lineRule="auto" w:line="240" w:before="240" w:after="100"/>
      <w:ind w:left="220" w:right="0" w:hanging="0"/>
    </w:pPr>
    <w:rPr>
      <w:rFonts w:eastAsia="Arial" w:cs="Arial"/>
      <w:szCs w:val="22"/>
      <w:lang w:eastAsia="fr-FR"/>
    </w:rPr>
  </w:style>
  <w:style w:type="paragraph" w:styleId="NoSpacing">
    <w:name w:val="No Spacing"/>
    <w:qFormat/>
    <w:pPr>
      <w:widowControl/>
      <w:suppressAutoHyphens w:val="true"/>
      <w:kinsoku w:val="true"/>
      <w:overflowPunct w:val="true"/>
      <w:autoSpaceDE w:val="true"/>
      <w:bidi w:val="0"/>
      <w:spacing w:lineRule="auto" w:line="240" w:before="0" w:after="0"/>
      <w:jc w:val="both"/>
    </w:pPr>
    <w:rPr>
      <w:rFonts w:ascii="Times New Roman" w:hAnsi="Times New Roman" w:eastAsia="Arial" w:cs="Arial"/>
      <w:color w:val="auto"/>
      <w:kern w:val="0"/>
      <w:sz w:val="24"/>
      <w:szCs w:val="22"/>
      <w:lang w:val="fr-FR" w:eastAsia="fr-FR" w:bidi="ar-SA"/>
    </w:rPr>
  </w:style>
  <w:style w:type="paragraph" w:styleId="IndexHeading">
    <w:name w:val="Index Heading"/>
    <w:basedOn w:val="Heading"/>
    <w:pPr/>
    <w:rPr/>
  </w:style>
  <w:style w:type="paragraph" w:styleId="ContentsHeading">
    <w:name w:val="TOC Heading"/>
    <w:basedOn w:val="Heading1"/>
    <w:next w:val="Normal"/>
    <w:pPr>
      <w:spacing w:lineRule="auto" w:line="259" w:before="240" w:after="0"/>
      <w:jc w:val="left"/>
      <w:outlineLvl w:val="9"/>
    </w:pPr>
    <w:rPr>
      <w:rFonts w:ascii="Calibri Light" w:hAnsi="Calibri Light"/>
      <w:b w:val="false"/>
      <w:caps w:val="false"/>
      <w:smallCaps w:val="false"/>
      <w:color w:val="2F5496"/>
      <w:u w:val="none"/>
      <w:lang w:eastAsia="fr-F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240" w:after="0"/>
    </w:pPr>
    <w:rPr>
      <w:rFonts w:ascii="Liberation Mono" w:hAnsi="Liberation Mono" w:eastAsia="Liberation Mono" w:cs="Liberation Mono"/>
      <w:sz w:val="20"/>
      <w:szCs w:val="20"/>
    </w:rPr>
  </w:style>
  <w:style w:type="paragraph" w:styleId="Contents3">
    <w:name w:val="TOC 3"/>
    <w:basedOn w:val="Index"/>
    <w:pPr>
      <w:tabs>
        <w:tab w:val="clear" w:pos="708"/>
        <w:tab w:val="right" w:pos="8505" w:leader="dot"/>
      </w:tabs>
      <w:ind w:left="567" w:right="0" w:hanging="0"/>
    </w:pPr>
    <w:rPr/>
  </w:style>
  <w:style w:type="paragraph" w:styleId="Contents4">
    <w:name w:val="TOC 4"/>
    <w:basedOn w:val="Index"/>
    <w:pPr>
      <w:tabs>
        <w:tab w:val="clear" w:pos="708"/>
        <w:tab w:val="right" w:pos="8222" w:leader="dot"/>
      </w:tabs>
      <w:ind w:left="850" w:right="0" w:hanging="0"/>
    </w:pPr>
    <w:rPr/>
  </w:style>
  <w:style w:type="paragraph" w:styleId="List2">
    <w:name w:val="List Bullet 3"/>
    <w:basedOn w:val="List"/>
    <w:pPr>
      <w:spacing w:before="0" w:after="120"/>
      <w:ind w:left="360" w:right="0" w:hanging="360"/>
    </w:pPr>
    <w:rPr/>
  </w:style>
  <w:style w:type="numbering" w:styleId="NoList">
    <w:name w:val="No List"/>
    <w:qFormat/>
  </w:style>
  <w:style w:type="numbering" w:styleId="Bullet">
    <w:name w:val="Bullet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233</TotalTime>
  <Application>LibreOffice/7.3.7.2$Linux_X86_64 LibreOffice_project/30$Build-2</Application>
  <AppVersion>15.0000</AppVersion>
  <Pages>41</Pages>
  <Words>10770</Words>
  <Characters>60754</Characters>
  <CharactersWithSpaces>70537</CharactersWithSpaces>
  <Paragraphs>783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2026-04-08T09:53:03Z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