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CDEB6" w14:textId="55FDA2C8" w:rsidR="00136CAB" w:rsidRDefault="00865EE8" w:rsidP="00865EE8">
      <w:pPr>
        <w:rPr>
          <w:rFonts w:ascii="Calibri" w:eastAsia="Calibri" w:hAnsi="Calibri" w:cs="Calibri"/>
          <w:b/>
          <w:bCs/>
          <w:lang w:val="fr-FR"/>
        </w:rPr>
      </w:pPr>
      <w:r>
        <w:rPr>
          <w:rFonts w:ascii="Calibri" w:eastAsia="Calibri" w:hAnsi="Calibri" w:cs="Calibri"/>
          <w:b/>
          <w:bCs/>
          <w:lang w:val="fr-FR"/>
        </w:rPr>
        <w:t>Approches de solutions d’amélioration de la PKI</w:t>
      </w:r>
    </w:p>
    <w:tbl>
      <w:tblPr>
        <w:tblStyle w:val="Grilledetableauclaire"/>
        <w:tblW w:w="9396" w:type="dxa"/>
        <w:tblLook w:val="04A0" w:firstRow="1" w:lastRow="0" w:firstColumn="1" w:lastColumn="0" w:noHBand="0" w:noVBand="1"/>
      </w:tblPr>
      <w:tblGrid>
        <w:gridCol w:w="1948"/>
        <w:gridCol w:w="2416"/>
        <w:gridCol w:w="2493"/>
        <w:gridCol w:w="2539"/>
      </w:tblGrid>
      <w:tr w:rsidR="00FD418B" w:rsidRPr="00B25ACE" w14:paraId="0E7BFF55" w14:textId="77777777" w:rsidTr="00B627F5">
        <w:tc>
          <w:tcPr>
            <w:tcW w:w="0" w:type="auto"/>
            <w:hideMark/>
          </w:tcPr>
          <w:p w14:paraId="5CBA0DFA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B25ACE">
              <w:rPr>
                <w:rFonts w:ascii="Calibri" w:eastAsia="Calibri" w:hAnsi="Calibri" w:cs="Calibri"/>
                <w:b/>
                <w:bCs/>
                <w:lang w:val="fr-FR"/>
              </w:rPr>
              <w:t>Principe</w:t>
            </w:r>
          </w:p>
        </w:tc>
        <w:tc>
          <w:tcPr>
            <w:tcW w:w="0" w:type="auto"/>
            <w:hideMark/>
          </w:tcPr>
          <w:p w14:paraId="68B72588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B25ACE">
              <w:rPr>
                <w:rFonts w:ascii="Calibri" w:eastAsia="Calibri" w:hAnsi="Calibri" w:cs="Calibri"/>
                <w:b/>
                <w:bCs/>
                <w:lang w:val="fr-FR"/>
              </w:rPr>
              <w:t>Objectif</w:t>
            </w:r>
          </w:p>
        </w:tc>
        <w:tc>
          <w:tcPr>
            <w:tcW w:w="0" w:type="auto"/>
            <w:hideMark/>
          </w:tcPr>
          <w:p w14:paraId="5527B9F5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B25ACE">
              <w:rPr>
                <w:rFonts w:ascii="Calibri" w:eastAsia="Calibri" w:hAnsi="Calibri" w:cs="Calibri"/>
                <w:b/>
                <w:bCs/>
                <w:lang w:val="fr-FR"/>
              </w:rPr>
              <w:t>Avantages</w:t>
            </w:r>
          </w:p>
        </w:tc>
        <w:tc>
          <w:tcPr>
            <w:tcW w:w="0" w:type="auto"/>
            <w:hideMark/>
          </w:tcPr>
          <w:p w14:paraId="7015C6E4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B25ACE">
              <w:rPr>
                <w:rFonts w:ascii="Calibri" w:eastAsia="Calibri" w:hAnsi="Calibri" w:cs="Calibri"/>
                <w:b/>
                <w:bCs/>
                <w:lang w:val="fr-FR"/>
              </w:rPr>
              <w:t>Limites</w:t>
            </w:r>
          </w:p>
        </w:tc>
      </w:tr>
      <w:tr w:rsidR="00FD418B" w:rsidRPr="00B25ACE" w14:paraId="730D5C80" w14:textId="77777777" w:rsidTr="00B627F5">
        <w:tc>
          <w:tcPr>
            <w:tcW w:w="0" w:type="auto"/>
            <w:hideMark/>
          </w:tcPr>
          <w:p w14:paraId="45FF25F0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B25ACE">
              <w:rPr>
                <w:rFonts w:ascii="Calibri" w:eastAsia="Calibri" w:hAnsi="Calibri" w:cs="Calibri"/>
                <w:b/>
                <w:bCs/>
                <w:lang w:val="fr-FR"/>
              </w:rPr>
              <w:t>PKI basée sur la Blockchain</w:t>
            </w:r>
          </w:p>
        </w:tc>
        <w:tc>
          <w:tcPr>
            <w:tcW w:w="0" w:type="auto"/>
            <w:hideMark/>
          </w:tcPr>
          <w:p w14:paraId="685F3BA8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Supprimer la dépendance à une autorité de certification centralisée.</w:t>
            </w:r>
          </w:p>
        </w:tc>
        <w:tc>
          <w:tcPr>
            <w:tcW w:w="0" w:type="auto"/>
            <w:hideMark/>
          </w:tcPr>
          <w:p w14:paraId="28808336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Décentralisation, transparence, immuabilité des certificats.</w:t>
            </w:r>
          </w:p>
        </w:tc>
        <w:tc>
          <w:tcPr>
            <w:tcW w:w="0" w:type="auto"/>
            <w:hideMark/>
          </w:tcPr>
          <w:p w14:paraId="653666A9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Scalabilité limitée, coûts de transaction élevés, latence réseau.</w:t>
            </w:r>
          </w:p>
        </w:tc>
      </w:tr>
      <w:tr w:rsidR="00FD418B" w:rsidRPr="00B25ACE" w14:paraId="2ED8866B" w14:textId="77777777" w:rsidTr="00B627F5">
        <w:tc>
          <w:tcPr>
            <w:tcW w:w="0" w:type="auto"/>
            <w:hideMark/>
          </w:tcPr>
          <w:p w14:paraId="62A2850C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B25ACE">
              <w:rPr>
                <w:rFonts w:ascii="Calibri" w:eastAsia="Calibri" w:hAnsi="Calibri" w:cs="Calibri"/>
                <w:b/>
                <w:bCs/>
                <w:lang w:val="fr-FR"/>
              </w:rPr>
              <w:t>PKI Hybride (Certificats + IBE/ABE)</w:t>
            </w:r>
          </w:p>
        </w:tc>
        <w:tc>
          <w:tcPr>
            <w:tcW w:w="0" w:type="auto"/>
            <w:hideMark/>
          </w:tcPr>
          <w:p w14:paraId="0FD70297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Réduire la gestion des certificats et permettre une authentification fine.</w:t>
            </w:r>
          </w:p>
        </w:tc>
        <w:tc>
          <w:tcPr>
            <w:tcW w:w="0" w:type="auto"/>
            <w:hideMark/>
          </w:tcPr>
          <w:p w14:paraId="468B1D8B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Moins de certificats à gérer, authentification flexible selon les attributs.</w:t>
            </w:r>
          </w:p>
        </w:tc>
        <w:tc>
          <w:tcPr>
            <w:tcW w:w="0" w:type="auto"/>
            <w:hideMark/>
          </w:tcPr>
          <w:p w14:paraId="61F92A4C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Dépendance à une autorité d’initialisation (PKG), gestion de la révocation complexe.</w:t>
            </w:r>
          </w:p>
        </w:tc>
      </w:tr>
      <w:tr w:rsidR="00FD418B" w:rsidRPr="00B25ACE" w14:paraId="59B2B4C4" w14:textId="77777777" w:rsidTr="00B627F5">
        <w:tc>
          <w:tcPr>
            <w:tcW w:w="0" w:type="auto"/>
            <w:hideMark/>
          </w:tcPr>
          <w:p w14:paraId="43A9846C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B25ACE">
              <w:rPr>
                <w:rFonts w:ascii="Calibri" w:eastAsia="Calibri" w:hAnsi="Calibri" w:cs="Calibri"/>
                <w:b/>
                <w:bCs/>
                <w:lang w:val="fr-FR"/>
              </w:rPr>
              <w:t>Certificate Transparency (CT) + Accumulateurs</w:t>
            </w:r>
          </w:p>
        </w:tc>
        <w:tc>
          <w:tcPr>
            <w:tcW w:w="0" w:type="auto"/>
            <w:hideMark/>
          </w:tcPr>
          <w:p w14:paraId="5949FCFF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Garantir la vérifiabilité publique des certificats et prévenir la fraude.</w:t>
            </w:r>
          </w:p>
        </w:tc>
        <w:tc>
          <w:tcPr>
            <w:tcW w:w="0" w:type="auto"/>
            <w:hideMark/>
          </w:tcPr>
          <w:p w14:paraId="067BB3B5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Auditabilité, détection rapide des certificats frauduleux.</w:t>
            </w:r>
          </w:p>
        </w:tc>
        <w:tc>
          <w:tcPr>
            <w:tcW w:w="0" w:type="auto"/>
            <w:hideMark/>
          </w:tcPr>
          <w:p w14:paraId="52A9DDE6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Ne prévient pas l’émission initiale frauduleuse, journalisation externe obligatoire.</w:t>
            </w:r>
          </w:p>
        </w:tc>
      </w:tr>
      <w:tr w:rsidR="00FD418B" w:rsidRPr="00B25ACE" w14:paraId="33590F94" w14:textId="77777777" w:rsidTr="00B627F5">
        <w:tc>
          <w:tcPr>
            <w:tcW w:w="0" w:type="auto"/>
            <w:hideMark/>
          </w:tcPr>
          <w:p w14:paraId="37CDB8D7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B25ACE">
              <w:rPr>
                <w:rFonts w:ascii="Calibri" w:eastAsia="Calibri" w:hAnsi="Calibri" w:cs="Calibri"/>
                <w:b/>
                <w:bCs/>
                <w:lang w:val="fr-FR"/>
              </w:rPr>
              <w:t>PKI Post-quantique</w:t>
            </w:r>
          </w:p>
        </w:tc>
        <w:tc>
          <w:tcPr>
            <w:tcW w:w="0" w:type="auto"/>
            <w:hideMark/>
          </w:tcPr>
          <w:p w14:paraId="6A38F0B0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Protéger contre les attaques d’ordinateurs quantiques.</w:t>
            </w:r>
          </w:p>
        </w:tc>
        <w:tc>
          <w:tcPr>
            <w:tcW w:w="0" w:type="auto"/>
            <w:hideMark/>
          </w:tcPr>
          <w:p w14:paraId="25766EF3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Sécurité future-proof, résistance aux algorithmes de décryptage quantique.</w:t>
            </w:r>
          </w:p>
        </w:tc>
        <w:tc>
          <w:tcPr>
            <w:tcW w:w="0" w:type="auto"/>
            <w:hideMark/>
          </w:tcPr>
          <w:p w14:paraId="4B8B200A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Standards non encore stabilisés, augmentation de la taille des clés et signatures.</w:t>
            </w:r>
          </w:p>
        </w:tc>
      </w:tr>
      <w:tr w:rsidR="00FD418B" w:rsidRPr="00B25ACE" w14:paraId="7504DF92" w14:textId="77777777" w:rsidTr="00B627F5">
        <w:tc>
          <w:tcPr>
            <w:tcW w:w="0" w:type="auto"/>
            <w:hideMark/>
          </w:tcPr>
          <w:p w14:paraId="7AB76279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b/>
                <w:bCs/>
              </w:rPr>
            </w:pPr>
            <w:r w:rsidRPr="00B25ACE">
              <w:rPr>
                <w:rFonts w:ascii="Calibri" w:eastAsia="Calibri" w:hAnsi="Calibri" w:cs="Calibri"/>
                <w:b/>
                <w:bCs/>
              </w:rPr>
              <w:t>PKI Web of Trust (WoT)</w:t>
            </w:r>
          </w:p>
        </w:tc>
        <w:tc>
          <w:tcPr>
            <w:tcW w:w="0" w:type="auto"/>
            <w:hideMark/>
          </w:tcPr>
          <w:p w14:paraId="6849C79F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Authentification distribuée sans autorité centrale.</w:t>
            </w:r>
          </w:p>
        </w:tc>
        <w:tc>
          <w:tcPr>
            <w:tcW w:w="0" w:type="auto"/>
            <w:hideMark/>
          </w:tcPr>
          <w:p w14:paraId="717C0EC7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Autonomie des utilisateurs, modèle organique et communautaire.</w:t>
            </w:r>
          </w:p>
        </w:tc>
        <w:tc>
          <w:tcPr>
            <w:tcW w:w="0" w:type="auto"/>
            <w:hideMark/>
          </w:tcPr>
          <w:p w14:paraId="3F4FD756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Gestion manuelle des signatures, manque de scalabilité et de standardisation.</w:t>
            </w:r>
          </w:p>
        </w:tc>
      </w:tr>
      <w:tr w:rsidR="00FD418B" w:rsidRPr="00B25ACE" w14:paraId="435DEF3D" w14:textId="77777777" w:rsidTr="00B627F5">
        <w:tc>
          <w:tcPr>
            <w:tcW w:w="0" w:type="auto"/>
            <w:hideMark/>
          </w:tcPr>
          <w:p w14:paraId="5701E25E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B25ACE">
              <w:rPr>
                <w:rFonts w:ascii="Calibri" w:eastAsia="Calibri" w:hAnsi="Calibri" w:cs="Calibri"/>
                <w:b/>
                <w:bCs/>
                <w:lang w:val="fr-FR"/>
              </w:rPr>
              <w:t>PKI basée sur la biométrie (BioPKI)</w:t>
            </w:r>
          </w:p>
        </w:tc>
        <w:tc>
          <w:tcPr>
            <w:tcW w:w="0" w:type="auto"/>
            <w:hideMark/>
          </w:tcPr>
          <w:p w14:paraId="7E561393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Associer l’identité biométrique à la clé publique pour une authentification forte.</w:t>
            </w:r>
          </w:p>
        </w:tc>
        <w:tc>
          <w:tcPr>
            <w:tcW w:w="0" w:type="auto"/>
            <w:hideMark/>
          </w:tcPr>
          <w:p w14:paraId="4739F007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Elimination des mots de passe, authentification plus naturelle et personnelle.</w:t>
            </w:r>
          </w:p>
        </w:tc>
        <w:tc>
          <w:tcPr>
            <w:tcW w:w="0" w:type="auto"/>
            <w:hideMark/>
          </w:tcPr>
          <w:p w14:paraId="14BA1FAD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Vulnérabilité aux vols de gabarits, difficulté de révocation en cas de compromission.</w:t>
            </w:r>
          </w:p>
        </w:tc>
      </w:tr>
      <w:tr w:rsidR="00FD418B" w:rsidRPr="00B25ACE" w14:paraId="3B25EAF8" w14:textId="77777777" w:rsidTr="00B627F5">
        <w:tc>
          <w:tcPr>
            <w:tcW w:w="0" w:type="auto"/>
            <w:hideMark/>
          </w:tcPr>
          <w:p w14:paraId="05AFC444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b/>
                <w:bCs/>
                <w:lang w:val="fr-FR"/>
              </w:rPr>
            </w:pPr>
            <w:r w:rsidRPr="00B25ACE">
              <w:rPr>
                <w:rFonts w:ascii="Calibri" w:eastAsia="Calibri" w:hAnsi="Calibri" w:cs="Calibri"/>
                <w:b/>
                <w:bCs/>
                <w:lang w:val="fr-FR"/>
              </w:rPr>
              <w:t>MFA intégré dans la PKI (ex : FIDO2)</w:t>
            </w:r>
          </w:p>
        </w:tc>
        <w:tc>
          <w:tcPr>
            <w:tcW w:w="0" w:type="auto"/>
            <w:hideMark/>
          </w:tcPr>
          <w:p w14:paraId="430914A8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Renforcer l’authentification par un second facteur matériel ou biométrique lié à la PKI.</w:t>
            </w:r>
          </w:p>
        </w:tc>
        <w:tc>
          <w:tcPr>
            <w:tcW w:w="0" w:type="auto"/>
            <w:hideMark/>
          </w:tcPr>
          <w:p w14:paraId="4E6A5476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Réduction du risque d’usurpation d’identité, résistance au phishing, intégration avec les certificats.</w:t>
            </w:r>
          </w:p>
        </w:tc>
        <w:tc>
          <w:tcPr>
            <w:tcW w:w="0" w:type="auto"/>
            <w:hideMark/>
          </w:tcPr>
          <w:p w14:paraId="60370E21" w14:textId="77777777" w:rsidR="00FD418B" w:rsidRPr="00B25ACE" w:rsidRDefault="00FD418B" w:rsidP="00B627F5">
            <w:pPr>
              <w:spacing w:after="160"/>
              <w:rPr>
                <w:rFonts w:ascii="Calibri" w:eastAsia="Calibri" w:hAnsi="Calibri" w:cs="Calibri"/>
                <w:lang w:val="fr-FR"/>
              </w:rPr>
            </w:pPr>
            <w:r w:rsidRPr="00B25ACE">
              <w:rPr>
                <w:rFonts w:ascii="Calibri" w:eastAsia="Calibri" w:hAnsi="Calibri" w:cs="Calibri"/>
                <w:lang w:val="fr-FR"/>
              </w:rPr>
              <w:t>Dépendance au matériel (clés U2F, TPM, etc.), complexité d’intégration dans les infrastructures PKI traditionnelles.</w:t>
            </w:r>
          </w:p>
        </w:tc>
      </w:tr>
    </w:tbl>
    <w:p w14:paraId="3479930F" w14:textId="77777777" w:rsidR="00106A85" w:rsidRPr="00106A85" w:rsidRDefault="00106A85" w:rsidP="00106A85">
      <w:pPr>
        <w:spacing w:line="360" w:lineRule="auto"/>
        <w:jc w:val="both"/>
        <w:rPr>
          <w:lang w:val="fr-FR"/>
        </w:rPr>
      </w:pPr>
      <w:r w:rsidRPr="00106A85">
        <w:rPr>
          <w:lang w:val="fr-FR"/>
        </w:rPr>
        <w:lastRenderedPageBreak/>
        <w:t>CHAPITRE 2 : Etat de l’art</w:t>
      </w:r>
    </w:p>
    <w:p w14:paraId="370B6E15" w14:textId="77777777" w:rsidR="00106A85" w:rsidRPr="00106A85" w:rsidRDefault="00106A85" w:rsidP="00106A85">
      <w:pPr>
        <w:spacing w:line="360" w:lineRule="auto"/>
        <w:jc w:val="both"/>
        <w:rPr>
          <w:lang w:val="fr-FR"/>
        </w:rPr>
      </w:pPr>
      <w:r w:rsidRPr="00106A85">
        <w:rPr>
          <w:lang w:val="fr-FR"/>
        </w:rPr>
        <w:t xml:space="preserve">1. </w:t>
      </w:r>
      <w:r w:rsidRPr="00106A85">
        <w:rPr>
          <w:lang w:val="fr-FR"/>
        </w:rPr>
        <w:tab/>
        <w:t>Analyse des vulnérabilités de l’authentification dans la PKI</w:t>
      </w:r>
    </w:p>
    <w:p w14:paraId="4C8AE7FB" w14:textId="77777777" w:rsidR="00106A85" w:rsidRDefault="00106A85" w:rsidP="00106A85">
      <w:pPr>
        <w:spacing w:line="360" w:lineRule="auto"/>
        <w:ind w:firstLine="708"/>
        <w:jc w:val="both"/>
      </w:pPr>
      <w:r w:rsidRPr="00EA771C">
        <w:t>1.1.</w:t>
      </w:r>
      <w:r>
        <w:tab/>
        <w:t xml:space="preserve"> </w:t>
      </w:r>
      <w:r w:rsidRPr="00EA771C">
        <w:t>Contexte et enjeux de la sécurité dans les architectures PKI</w:t>
      </w:r>
    </w:p>
    <w:p w14:paraId="07F2658C" w14:textId="77777777" w:rsidR="00106A85" w:rsidRDefault="00106A85" w:rsidP="00106A85">
      <w:pPr>
        <w:spacing w:line="360" w:lineRule="auto"/>
        <w:ind w:firstLine="708"/>
        <w:jc w:val="both"/>
      </w:pPr>
      <w:r w:rsidRPr="00EA771C">
        <w:t xml:space="preserve">1.2. </w:t>
      </w:r>
      <w:r>
        <w:tab/>
      </w:r>
      <w:r w:rsidRPr="00EA771C">
        <w:t>Identification des vulnérabilités spécifiques de l’authentification dans la PKI</w:t>
      </w:r>
    </w:p>
    <w:p w14:paraId="792E6BC5" w14:textId="77777777" w:rsidR="00106A85" w:rsidRDefault="00106A85" w:rsidP="00106A85">
      <w:pPr>
        <w:spacing w:line="360" w:lineRule="auto"/>
        <w:ind w:firstLine="708"/>
        <w:jc w:val="both"/>
      </w:pPr>
      <w:r w:rsidRPr="00EA771C">
        <w:t xml:space="preserve">1.3. </w:t>
      </w:r>
      <w:r>
        <w:tab/>
      </w:r>
      <w:r w:rsidRPr="00EA771C">
        <w:t>Évaluation de l’impact des vulnérabilités sur les systèmes cloud</w:t>
      </w:r>
    </w:p>
    <w:p w14:paraId="04E96273" w14:textId="77777777" w:rsidR="00106A85" w:rsidRDefault="00106A85" w:rsidP="00106A85">
      <w:pPr>
        <w:spacing w:line="360" w:lineRule="auto"/>
        <w:jc w:val="both"/>
      </w:pPr>
      <w:r w:rsidRPr="00EA771C">
        <w:t xml:space="preserve">2. </w:t>
      </w:r>
      <w:r>
        <w:tab/>
      </w:r>
      <w:r w:rsidRPr="00EA771C">
        <w:t>Approches existantes et solutions émergentes face aux vulnérabilités</w:t>
      </w:r>
    </w:p>
    <w:p w14:paraId="08728F40" w14:textId="77777777" w:rsidR="00106A85" w:rsidRDefault="00106A85" w:rsidP="00106A85">
      <w:pPr>
        <w:spacing w:line="360" w:lineRule="auto"/>
        <w:ind w:firstLine="708"/>
        <w:jc w:val="both"/>
      </w:pPr>
      <w:r w:rsidRPr="00EA771C">
        <w:t xml:space="preserve">2.1. </w:t>
      </w:r>
      <w:r>
        <w:tab/>
      </w:r>
      <w:r w:rsidRPr="00EA771C">
        <w:t>Méthodes classiques d’amélioration des protocoles PKI</w:t>
      </w:r>
    </w:p>
    <w:p w14:paraId="2DEE49F1" w14:textId="77777777" w:rsidR="00106A85" w:rsidRDefault="00106A85" w:rsidP="00106A85">
      <w:pPr>
        <w:spacing w:line="360" w:lineRule="auto"/>
        <w:ind w:firstLine="708"/>
        <w:jc w:val="both"/>
      </w:pPr>
      <w:r w:rsidRPr="00EA771C">
        <w:t xml:space="preserve">2.2. </w:t>
      </w:r>
      <w:r>
        <w:tab/>
      </w:r>
      <w:r w:rsidRPr="00EA771C">
        <w:t>Solutions innovantes basées sur la Computation Multipartie (MPC)</w:t>
      </w:r>
    </w:p>
    <w:p w14:paraId="2997652A" w14:textId="77777777" w:rsidR="00106A85" w:rsidRDefault="00106A85" w:rsidP="00106A85">
      <w:pPr>
        <w:spacing w:line="360" w:lineRule="auto"/>
        <w:ind w:firstLine="708"/>
        <w:jc w:val="both"/>
      </w:pPr>
      <w:r w:rsidRPr="00EA771C">
        <w:t xml:space="preserve">2.3. </w:t>
      </w:r>
      <w:r>
        <w:tab/>
      </w:r>
      <w:r w:rsidRPr="00EA771C">
        <w:t>Analyse critique des approches existantes et émergentes</w:t>
      </w:r>
    </w:p>
    <w:p w14:paraId="3010C218" w14:textId="77777777" w:rsidR="00106A85" w:rsidRDefault="00106A85" w:rsidP="00106A85">
      <w:pPr>
        <w:spacing w:line="360" w:lineRule="auto"/>
        <w:jc w:val="both"/>
      </w:pPr>
      <w:r w:rsidRPr="00EA771C">
        <w:t xml:space="preserve">3. </w:t>
      </w:r>
      <w:r>
        <w:tab/>
      </w:r>
      <w:r w:rsidRPr="00EA771C">
        <w:t>Discussion, synthèse et positionnement de la recherche</w:t>
      </w:r>
    </w:p>
    <w:p w14:paraId="0DF2D14A" w14:textId="77777777" w:rsidR="00106A85" w:rsidRDefault="00106A85" w:rsidP="00106A85">
      <w:pPr>
        <w:spacing w:line="360" w:lineRule="auto"/>
        <w:ind w:firstLine="708"/>
        <w:jc w:val="both"/>
      </w:pPr>
      <w:r w:rsidRPr="00EA771C">
        <w:t>3.1.</w:t>
      </w:r>
      <w:r>
        <w:tab/>
      </w:r>
      <w:r w:rsidRPr="00EA771C">
        <w:t xml:space="preserve"> Bilan comparatif des approches analysées</w:t>
      </w:r>
    </w:p>
    <w:p w14:paraId="3753AAB2" w14:textId="77777777" w:rsidR="00106A85" w:rsidRDefault="00106A85" w:rsidP="00106A85">
      <w:pPr>
        <w:spacing w:line="360" w:lineRule="auto"/>
        <w:ind w:firstLine="708"/>
        <w:jc w:val="both"/>
      </w:pPr>
      <w:r w:rsidRPr="00EA771C">
        <w:t xml:space="preserve">3.2. </w:t>
      </w:r>
      <w:r>
        <w:tab/>
      </w:r>
      <w:r w:rsidRPr="00EA771C">
        <w:t>Justification du besoin d’une solution améliorée</w:t>
      </w:r>
    </w:p>
    <w:p w14:paraId="1FC84BF4" w14:textId="77777777" w:rsidR="00106A85" w:rsidRPr="00EA771C" w:rsidRDefault="00106A85" w:rsidP="00106A85">
      <w:pPr>
        <w:spacing w:line="360" w:lineRule="auto"/>
        <w:ind w:firstLine="708"/>
        <w:jc w:val="both"/>
      </w:pPr>
      <w:r w:rsidRPr="00EA771C">
        <w:t xml:space="preserve">3.3. </w:t>
      </w:r>
      <w:r>
        <w:tab/>
      </w:r>
      <w:r w:rsidRPr="00EA771C">
        <w:t>Présentation préliminaire de la solution proposée</w:t>
      </w:r>
    </w:p>
    <w:p w14:paraId="7B2BDC94" w14:textId="77777777" w:rsidR="00FD418B" w:rsidRPr="00FD418B" w:rsidRDefault="00FD418B" w:rsidP="00FD418B">
      <w:pPr>
        <w:rPr>
          <w:rFonts w:ascii="Calibri" w:eastAsia="Calibri" w:hAnsi="Calibri" w:cs="Calibri"/>
          <w:b/>
          <w:bCs/>
          <w:lang w:val="fr-FR"/>
        </w:rPr>
      </w:pPr>
    </w:p>
    <w:sectPr w:rsidR="00FD418B" w:rsidRPr="00FD41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3B479E"/>
    <w:multiLevelType w:val="multilevel"/>
    <w:tmpl w:val="8AD6A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550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868"/>
    <w:rsid w:val="00106A85"/>
    <w:rsid w:val="00136CAB"/>
    <w:rsid w:val="00865868"/>
    <w:rsid w:val="00865EE8"/>
    <w:rsid w:val="00B25ACE"/>
    <w:rsid w:val="00B3300B"/>
    <w:rsid w:val="00BE3042"/>
    <w:rsid w:val="00F64FE7"/>
    <w:rsid w:val="00FD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726E8"/>
  <w15:chartTrackingRefBased/>
  <w15:docId w15:val="{1192D7C3-8293-40E4-8310-2E3B5518F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868"/>
    <w:pPr>
      <w:spacing w:line="279" w:lineRule="auto"/>
    </w:pPr>
    <w:rPr>
      <w:rFonts w:eastAsiaTheme="minorEastAsia"/>
      <w:sz w:val="24"/>
      <w:szCs w:val="24"/>
      <w:lang w:val="en-US" w:eastAsia="ja-JP"/>
    </w:rPr>
  </w:style>
  <w:style w:type="paragraph" w:styleId="Titre1">
    <w:name w:val="heading 1"/>
    <w:basedOn w:val="Normal"/>
    <w:next w:val="Normal"/>
    <w:link w:val="Titre1Car"/>
    <w:uiPriority w:val="9"/>
    <w:qFormat/>
    <w:rsid w:val="00865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65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658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65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658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658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658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658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658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658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658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658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6586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6586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6586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6586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6586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6586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658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65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65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65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65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6586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6586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6586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658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6586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65868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59"/>
    <w:rsid w:val="00865868"/>
    <w:pPr>
      <w:spacing w:after="0" w:line="240" w:lineRule="auto"/>
    </w:pPr>
    <w:rPr>
      <w:rFonts w:eastAsiaTheme="minorEastAsia"/>
      <w:sz w:val="24"/>
      <w:szCs w:val="24"/>
      <w:lang w:val="en-US"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lledetableauclaire">
    <w:name w:val="Grid Table Light"/>
    <w:basedOn w:val="TableauNormal"/>
    <w:uiPriority w:val="40"/>
    <w:rsid w:val="00865EE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420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2025-04-16T15:47:00Z</dcterms:created>
  <dcterms:modified xsi:type="dcterms:W3CDTF">2025-04-16T15:55:00Z</dcterms:modified>
</cp:coreProperties>
</file>