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re1"/>
        <w:bidi w:val="0"/>
        <w:spacing w:before="240" w:after="120"/>
        <w:jc w:val="left"/>
        <w:rPr/>
      </w:pPr>
      <w:r>
        <w:rPr/>
        <w:t>Politiques de Sécurité Informatique chez Sensio Labs</w:t>
      </w:r>
    </w:p>
    <w:p>
      <w:pPr>
        <w:pStyle w:val="Titre2"/>
        <w:bidi w:val="0"/>
        <w:jc w:val="left"/>
        <w:rPr/>
      </w:pPr>
      <w:r>
        <w:rPr/>
        <w:t>Introduction</w:t>
      </w:r>
    </w:p>
    <w:p>
      <w:pPr>
        <w:pStyle w:val="Corpsdetexte"/>
        <w:bidi w:val="0"/>
        <w:spacing w:lineRule="auto" w:line="276" w:before="0" w:after="140"/>
        <w:jc w:val="left"/>
        <w:rPr/>
      </w:pPr>
      <w:r>
        <w:rPr/>
        <w:t>Les politiques de sécurité informatique de Sensio Labs visent à protéger les actifs informatiques de l'entreprise, assurer la confidentialité, l'intégrité et la disponibilité des données, ainsi que maintenir la confiance des clients et des partenaires. Ce document détaille les principales politiques et directives à suivre par tous les employés, consultants et partenaires ayant accès aux systèmes informatiques de Sensio Labs.</w:t>
      </w:r>
    </w:p>
    <w:p>
      <w:pPr>
        <w:pStyle w:val="Lignehorizontale"/>
        <w:suppressLineNumbers/>
        <w:pBdr>
          <w:bottom w:val="double" w:sz="2" w:space="0" w:color="808080"/>
        </w:pBdr>
        <w:bidi w:val="0"/>
        <w:spacing w:before="0" w:after="283"/>
        <w:jc w:val="left"/>
        <w:rPr/>
      </w:pPr>
      <w:r>
        <w:rPr/>
      </w:r>
    </w:p>
    <w:p>
      <w:pPr>
        <w:pStyle w:val="Titre2"/>
        <w:bidi w:val="0"/>
        <w:jc w:val="left"/>
        <w:rPr/>
      </w:pPr>
      <w:r>
        <w:rPr/>
        <w:t>1. Politique de Sécurité de l'Information</w:t>
      </w:r>
    </w:p>
    <w:p>
      <w:pPr>
        <w:pStyle w:val="Titre3"/>
        <w:bidi w:val="0"/>
        <w:jc w:val="left"/>
        <w:rPr/>
      </w:pPr>
      <w:r>
        <w:rPr/>
        <w:t>1.1 Objectif</w:t>
      </w:r>
    </w:p>
    <w:p>
      <w:pPr>
        <w:pStyle w:val="Corpsdetexte"/>
        <w:bidi w:val="0"/>
        <w:spacing w:lineRule="auto" w:line="276" w:before="0" w:after="140"/>
        <w:jc w:val="left"/>
        <w:rPr/>
      </w:pPr>
      <w:r>
        <w:rPr/>
        <w:t>Protéger les actifs informationnels de l'entreprise contre les menaces internes et externes, assurer la confidentialité, l'intégrité et la disponibilité des informations.</w:t>
      </w:r>
    </w:p>
    <w:p>
      <w:pPr>
        <w:pStyle w:val="Titre3"/>
        <w:bidi w:val="0"/>
        <w:jc w:val="left"/>
        <w:rPr/>
      </w:pPr>
      <w:r>
        <w:rPr/>
        <w:t>1.2 Contenu</w:t>
      </w:r>
    </w:p>
    <w:p>
      <w:pPr>
        <w:pStyle w:val="Corpsdetexte"/>
        <w:numPr>
          <w:ilvl w:val="0"/>
          <w:numId w:val="1"/>
        </w:numPr>
        <w:tabs>
          <w:tab w:val="clear" w:pos="709"/>
          <w:tab w:val="left" w:pos="709" w:leader="none"/>
        </w:tabs>
        <w:bidi w:val="0"/>
        <w:spacing w:before="0" w:after="0"/>
        <w:ind w:left="709" w:hanging="283"/>
        <w:jc w:val="left"/>
        <w:rPr/>
      </w:pPr>
      <w:r>
        <w:rPr/>
        <w:t>Classification des informations</w:t>
      </w:r>
    </w:p>
    <w:p>
      <w:pPr>
        <w:pStyle w:val="Corpsdetexte"/>
        <w:numPr>
          <w:ilvl w:val="0"/>
          <w:numId w:val="1"/>
        </w:numPr>
        <w:tabs>
          <w:tab w:val="clear" w:pos="709"/>
          <w:tab w:val="left" w:pos="709" w:leader="none"/>
        </w:tabs>
        <w:bidi w:val="0"/>
        <w:spacing w:before="0" w:after="0"/>
        <w:ind w:left="709" w:hanging="283"/>
        <w:jc w:val="left"/>
        <w:rPr/>
      </w:pPr>
      <w:r>
        <w:rPr/>
        <w:t>Accès aux informations</w:t>
      </w:r>
    </w:p>
    <w:p>
      <w:pPr>
        <w:pStyle w:val="Corpsdetexte"/>
        <w:numPr>
          <w:ilvl w:val="0"/>
          <w:numId w:val="1"/>
        </w:numPr>
        <w:tabs>
          <w:tab w:val="clear" w:pos="709"/>
          <w:tab w:val="left" w:pos="709" w:leader="none"/>
        </w:tabs>
        <w:bidi w:val="0"/>
        <w:spacing w:before="0" w:after="0"/>
        <w:ind w:left="709" w:hanging="283"/>
        <w:jc w:val="left"/>
        <w:rPr/>
      </w:pPr>
      <w:r>
        <w:rPr/>
        <w:t>Gestion des identités et des accès</w:t>
      </w:r>
    </w:p>
    <w:p>
      <w:pPr>
        <w:pStyle w:val="Corpsdetexte"/>
        <w:numPr>
          <w:ilvl w:val="0"/>
          <w:numId w:val="1"/>
        </w:numPr>
        <w:tabs>
          <w:tab w:val="clear" w:pos="709"/>
          <w:tab w:val="left" w:pos="709" w:leader="none"/>
        </w:tabs>
        <w:bidi w:val="0"/>
        <w:spacing w:before="0" w:after="0"/>
        <w:ind w:left="709" w:hanging="283"/>
        <w:jc w:val="left"/>
        <w:rPr/>
      </w:pPr>
      <w:r>
        <w:rPr/>
        <w:t>Gestion des incidents de sécurité</w:t>
      </w:r>
    </w:p>
    <w:p>
      <w:pPr>
        <w:pStyle w:val="Corpsdetexte"/>
        <w:numPr>
          <w:ilvl w:val="0"/>
          <w:numId w:val="1"/>
        </w:numPr>
        <w:tabs>
          <w:tab w:val="clear" w:pos="709"/>
          <w:tab w:val="left" w:pos="709" w:leader="none"/>
        </w:tabs>
        <w:bidi w:val="0"/>
        <w:ind w:left="709" w:hanging="283"/>
        <w:jc w:val="left"/>
        <w:rPr/>
      </w:pPr>
      <w:r>
        <w:rPr/>
        <w:t>Sensibilisation à la sécurité</w:t>
      </w:r>
    </w:p>
    <w:p>
      <w:pPr>
        <w:pStyle w:val="Lignehorizontale"/>
        <w:bidi w:val="0"/>
        <w:jc w:val="left"/>
        <w:rPr/>
      </w:pPr>
      <w:r>
        <w:rPr/>
      </w:r>
    </w:p>
    <w:p>
      <w:pPr>
        <w:pStyle w:val="Titre2"/>
        <w:bidi w:val="0"/>
        <w:jc w:val="left"/>
        <w:rPr/>
      </w:pPr>
      <w:r>
        <w:rPr/>
        <w:t>2. Politique de Gestion des Accès</w:t>
      </w:r>
    </w:p>
    <w:p>
      <w:pPr>
        <w:pStyle w:val="Titre3"/>
        <w:bidi w:val="0"/>
        <w:jc w:val="left"/>
        <w:rPr/>
      </w:pPr>
      <w:r>
        <w:rPr/>
        <w:t>2.1 Objectif</w:t>
      </w:r>
    </w:p>
    <w:p>
      <w:pPr>
        <w:pStyle w:val="Corpsdetexte"/>
        <w:bidi w:val="0"/>
        <w:spacing w:lineRule="auto" w:line="276" w:before="0" w:after="140"/>
        <w:jc w:val="left"/>
        <w:rPr/>
      </w:pPr>
      <w:r>
        <w:rPr/>
        <w:t>Garantir que seules les personnes autorisées ont accès aux systèmes et aux informations sensibles de Sensio Labs.</w:t>
      </w:r>
    </w:p>
    <w:p>
      <w:pPr>
        <w:pStyle w:val="Titre3"/>
        <w:bidi w:val="0"/>
        <w:jc w:val="left"/>
        <w:rPr/>
      </w:pPr>
      <w:r>
        <w:rPr/>
        <w:t>2.2 Contenu</w:t>
      </w:r>
    </w:p>
    <w:p>
      <w:pPr>
        <w:pStyle w:val="Corpsdetexte"/>
        <w:numPr>
          <w:ilvl w:val="0"/>
          <w:numId w:val="2"/>
        </w:numPr>
        <w:tabs>
          <w:tab w:val="clear" w:pos="709"/>
          <w:tab w:val="left" w:pos="709" w:leader="none"/>
        </w:tabs>
        <w:bidi w:val="0"/>
        <w:spacing w:before="0" w:after="0"/>
        <w:ind w:left="709" w:hanging="283"/>
        <w:jc w:val="left"/>
        <w:rPr/>
      </w:pPr>
      <w:r>
        <w:rPr/>
        <w:t>Authentification forte et gestion des identifiants</w:t>
      </w:r>
    </w:p>
    <w:p>
      <w:pPr>
        <w:pStyle w:val="Corpsdetexte"/>
        <w:numPr>
          <w:ilvl w:val="0"/>
          <w:numId w:val="2"/>
        </w:numPr>
        <w:tabs>
          <w:tab w:val="clear" w:pos="709"/>
          <w:tab w:val="left" w:pos="709" w:leader="none"/>
        </w:tabs>
        <w:bidi w:val="0"/>
        <w:spacing w:before="0" w:after="0"/>
        <w:ind w:left="709" w:hanging="283"/>
        <w:jc w:val="left"/>
        <w:rPr/>
      </w:pPr>
      <w:r>
        <w:rPr/>
        <w:t>Contrôles d'accès physiques et logiques</w:t>
      </w:r>
    </w:p>
    <w:p>
      <w:pPr>
        <w:pStyle w:val="Corpsdetexte"/>
        <w:numPr>
          <w:ilvl w:val="0"/>
          <w:numId w:val="2"/>
        </w:numPr>
        <w:tabs>
          <w:tab w:val="clear" w:pos="709"/>
          <w:tab w:val="left" w:pos="709" w:leader="none"/>
        </w:tabs>
        <w:bidi w:val="0"/>
        <w:spacing w:before="0" w:after="0"/>
        <w:ind w:left="709" w:hanging="283"/>
        <w:jc w:val="left"/>
        <w:rPr/>
      </w:pPr>
      <w:r>
        <w:rPr/>
        <w:t>Surveillance et audit des accès</w:t>
      </w:r>
    </w:p>
    <w:p>
      <w:pPr>
        <w:pStyle w:val="Corpsdetexte"/>
        <w:numPr>
          <w:ilvl w:val="0"/>
          <w:numId w:val="2"/>
        </w:numPr>
        <w:tabs>
          <w:tab w:val="clear" w:pos="709"/>
          <w:tab w:val="left" w:pos="709" w:leader="none"/>
        </w:tabs>
        <w:bidi w:val="0"/>
        <w:ind w:left="709" w:hanging="283"/>
        <w:jc w:val="left"/>
        <w:rPr/>
      </w:pPr>
      <w:r>
        <w:rPr/>
        <w:t>Gestion des privilèges d'accès</w:t>
      </w:r>
    </w:p>
    <w:p>
      <w:pPr>
        <w:pStyle w:val="Lignehorizontale"/>
        <w:bidi w:val="0"/>
        <w:jc w:val="left"/>
        <w:rPr/>
      </w:pPr>
      <w:r>
        <w:rPr/>
      </w:r>
    </w:p>
    <w:p>
      <w:pPr>
        <w:pStyle w:val="Titre2"/>
        <w:bidi w:val="0"/>
        <w:jc w:val="left"/>
        <w:rPr/>
      </w:pPr>
      <w:r>
        <w:rPr/>
        <w:t>3. Politique de Gestion des Mots de Passe</w:t>
      </w:r>
    </w:p>
    <w:p>
      <w:pPr>
        <w:pStyle w:val="Titre3"/>
        <w:bidi w:val="0"/>
        <w:jc w:val="left"/>
        <w:rPr/>
      </w:pPr>
      <w:r>
        <w:rPr/>
        <w:t>3.1 Objectif</w:t>
      </w:r>
    </w:p>
    <w:p>
      <w:pPr>
        <w:pStyle w:val="Corpsdetexte"/>
        <w:bidi w:val="0"/>
        <w:spacing w:lineRule="auto" w:line="276" w:before="0" w:after="140"/>
        <w:jc w:val="left"/>
        <w:rPr/>
      </w:pPr>
      <w:r>
        <w:rPr/>
        <w:t>Assurer l'utilisation sécurisée et la gestion des mots de passe pour protéger l'accès aux systèmes et aux données de l'entreprise.</w:t>
      </w:r>
    </w:p>
    <w:p>
      <w:pPr>
        <w:pStyle w:val="Titre3"/>
        <w:bidi w:val="0"/>
        <w:jc w:val="left"/>
        <w:rPr/>
      </w:pPr>
      <w:r>
        <w:rPr/>
        <w:t>3.2 Contenu</w:t>
      </w:r>
    </w:p>
    <w:p>
      <w:pPr>
        <w:pStyle w:val="Corpsdetexte"/>
        <w:numPr>
          <w:ilvl w:val="0"/>
          <w:numId w:val="3"/>
        </w:numPr>
        <w:tabs>
          <w:tab w:val="clear" w:pos="709"/>
          <w:tab w:val="left" w:pos="709" w:leader="none"/>
        </w:tabs>
        <w:bidi w:val="0"/>
        <w:spacing w:before="0" w:after="0"/>
        <w:ind w:left="709" w:hanging="283"/>
        <w:jc w:val="left"/>
        <w:rPr/>
      </w:pPr>
      <w:r>
        <w:rPr/>
        <w:t>Complexité et renouvellement des mots de passe</w:t>
      </w:r>
    </w:p>
    <w:p>
      <w:pPr>
        <w:pStyle w:val="Corpsdetexte"/>
        <w:numPr>
          <w:ilvl w:val="0"/>
          <w:numId w:val="3"/>
        </w:numPr>
        <w:tabs>
          <w:tab w:val="clear" w:pos="709"/>
          <w:tab w:val="left" w:pos="709" w:leader="none"/>
        </w:tabs>
        <w:bidi w:val="0"/>
        <w:spacing w:before="0" w:after="0"/>
        <w:ind w:left="709" w:hanging="283"/>
        <w:jc w:val="left"/>
        <w:rPr/>
      </w:pPr>
      <w:r>
        <w:rPr/>
        <w:t>Stockage sécurisé des mots de passe</w:t>
      </w:r>
    </w:p>
    <w:p>
      <w:pPr>
        <w:pStyle w:val="Corpsdetexte"/>
        <w:numPr>
          <w:ilvl w:val="0"/>
          <w:numId w:val="3"/>
        </w:numPr>
        <w:tabs>
          <w:tab w:val="clear" w:pos="709"/>
          <w:tab w:val="left" w:pos="709" w:leader="none"/>
        </w:tabs>
        <w:bidi w:val="0"/>
        <w:spacing w:before="0" w:after="0"/>
        <w:ind w:left="709" w:hanging="283"/>
        <w:jc w:val="left"/>
        <w:rPr/>
      </w:pPr>
      <w:r>
        <w:rPr/>
        <w:t>Authentification à deux facteurs (2FA)</w:t>
      </w:r>
    </w:p>
    <w:p>
      <w:pPr>
        <w:pStyle w:val="Corpsdetexte"/>
        <w:numPr>
          <w:ilvl w:val="0"/>
          <w:numId w:val="3"/>
        </w:numPr>
        <w:tabs>
          <w:tab w:val="clear" w:pos="709"/>
          <w:tab w:val="left" w:pos="709" w:leader="none"/>
        </w:tabs>
        <w:bidi w:val="0"/>
        <w:ind w:left="709" w:hanging="283"/>
        <w:jc w:val="left"/>
        <w:rPr/>
      </w:pPr>
      <w:r>
        <w:rPr/>
        <w:t>Sensibilisation et formation des utilisateurs</w:t>
      </w:r>
    </w:p>
    <w:p>
      <w:pPr>
        <w:pStyle w:val="Lignehorizontale"/>
        <w:bidi w:val="0"/>
        <w:jc w:val="left"/>
        <w:rPr/>
      </w:pPr>
      <w:r>
        <w:rPr/>
      </w:r>
    </w:p>
    <w:p>
      <w:pPr>
        <w:pStyle w:val="Titre2"/>
        <w:bidi w:val="0"/>
        <w:jc w:val="left"/>
        <w:rPr/>
      </w:pPr>
      <w:r>
        <w:rPr/>
        <w:t>4. Politique de Sécurité des Systèmes et Réseaux</w:t>
      </w:r>
    </w:p>
    <w:p>
      <w:pPr>
        <w:pStyle w:val="Titre3"/>
        <w:bidi w:val="0"/>
        <w:jc w:val="left"/>
        <w:rPr/>
      </w:pPr>
      <w:r>
        <w:rPr/>
        <w:t>4.1 Objectif</w:t>
      </w:r>
    </w:p>
    <w:p>
      <w:pPr>
        <w:pStyle w:val="Corpsdetexte"/>
        <w:bidi w:val="0"/>
        <w:spacing w:lineRule="auto" w:line="276" w:before="0" w:after="140"/>
        <w:jc w:val="left"/>
        <w:rPr/>
      </w:pPr>
      <w:r>
        <w:rPr/>
        <w:t>Protéger les systèmes et réseaux de Sensio Labs contre les menaces et les attaques informatiques.</w:t>
      </w:r>
    </w:p>
    <w:p>
      <w:pPr>
        <w:pStyle w:val="Titre3"/>
        <w:bidi w:val="0"/>
        <w:jc w:val="left"/>
        <w:rPr/>
      </w:pPr>
      <w:r>
        <w:rPr/>
        <w:t>4.2 Contenu</w:t>
      </w:r>
    </w:p>
    <w:p>
      <w:pPr>
        <w:pStyle w:val="Corpsdetexte"/>
        <w:numPr>
          <w:ilvl w:val="0"/>
          <w:numId w:val="4"/>
        </w:numPr>
        <w:tabs>
          <w:tab w:val="clear" w:pos="709"/>
          <w:tab w:val="left" w:pos="709" w:leader="none"/>
        </w:tabs>
        <w:bidi w:val="0"/>
        <w:spacing w:before="0" w:after="0"/>
        <w:ind w:left="709" w:hanging="283"/>
        <w:jc w:val="left"/>
        <w:rPr/>
      </w:pPr>
      <w:r>
        <w:rPr/>
        <w:t>Mise à jour et gestion des correctifs</w:t>
      </w:r>
    </w:p>
    <w:p>
      <w:pPr>
        <w:pStyle w:val="Corpsdetexte"/>
        <w:numPr>
          <w:ilvl w:val="0"/>
          <w:numId w:val="4"/>
        </w:numPr>
        <w:tabs>
          <w:tab w:val="clear" w:pos="709"/>
          <w:tab w:val="left" w:pos="709" w:leader="none"/>
        </w:tabs>
        <w:bidi w:val="0"/>
        <w:spacing w:before="0" w:after="0"/>
        <w:ind w:left="709" w:hanging="283"/>
        <w:jc w:val="left"/>
        <w:rPr/>
      </w:pPr>
      <w:r>
        <w:rPr/>
        <w:t>Détection et prévention des intrusions</w:t>
      </w:r>
    </w:p>
    <w:p>
      <w:pPr>
        <w:pStyle w:val="Corpsdetexte"/>
        <w:numPr>
          <w:ilvl w:val="0"/>
          <w:numId w:val="4"/>
        </w:numPr>
        <w:tabs>
          <w:tab w:val="clear" w:pos="709"/>
          <w:tab w:val="left" w:pos="709" w:leader="none"/>
        </w:tabs>
        <w:bidi w:val="0"/>
        <w:spacing w:before="0" w:after="0"/>
        <w:ind w:left="709" w:hanging="283"/>
        <w:jc w:val="left"/>
        <w:rPr/>
      </w:pPr>
      <w:r>
        <w:rPr/>
        <w:t>Sécurité des applications et des serveurs</w:t>
      </w:r>
    </w:p>
    <w:p>
      <w:pPr>
        <w:pStyle w:val="Corpsdetexte"/>
        <w:numPr>
          <w:ilvl w:val="0"/>
          <w:numId w:val="4"/>
        </w:numPr>
        <w:tabs>
          <w:tab w:val="clear" w:pos="709"/>
          <w:tab w:val="left" w:pos="709" w:leader="none"/>
        </w:tabs>
        <w:bidi w:val="0"/>
        <w:ind w:left="709" w:hanging="283"/>
        <w:jc w:val="left"/>
        <w:rPr/>
      </w:pPr>
      <w:r>
        <w:rPr/>
        <w:t>Surveillance continue des systèmes</w:t>
      </w:r>
    </w:p>
    <w:p>
      <w:pPr>
        <w:pStyle w:val="Lignehorizontale"/>
        <w:bidi w:val="0"/>
        <w:jc w:val="left"/>
        <w:rPr/>
      </w:pPr>
      <w:r>
        <w:rPr/>
      </w:r>
    </w:p>
    <w:p>
      <w:pPr>
        <w:pStyle w:val="Titre2"/>
        <w:bidi w:val="0"/>
        <w:jc w:val="left"/>
        <w:rPr/>
      </w:pPr>
      <w:r>
        <w:rPr/>
        <w:t>5. Politique de Gestion des Fournisseurs et des Prestataires</w:t>
      </w:r>
    </w:p>
    <w:p>
      <w:pPr>
        <w:pStyle w:val="Titre3"/>
        <w:bidi w:val="0"/>
        <w:jc w:val="left"/>
        <w:rPr/>
      </w:pPr>
      <w:r>
        <w:rPr/>
        <w:t>5.1 Objectif</w:t>
      </w:r>
    </w:p>
    <w:p>
      <w:pPr>
        <w:pStyle w:val="Corpsdetexte"/>
        <w:bidi w:val="0"/>
        <w:spacing w:lineRule="auto" w:line="276" w:before="0" w:after="140"/>
        <w:jc w:val="left"/>
        <w:rPr/>
      </w:pPr>
      <w:r>
        <w:rPr/>
        <w:t>Assurer que les fournisseurs et prestataires respectent les normes de sécurité de Sensio Labs.</w:t>
      </w:r>
    </w:p>
    <w:p>
      <w:pPr>
        <w:pStyle w:val="Titre3"/>
        <w:bidi w:val="0"/>
        <w:jc w:val="left"/>
        <w:rPr/>
      </w:pPr>
      <w:r>
        <w:rPr/>
        <w:t>5.2 Contenu</w:t>
      </w:r>
    </w:p>
    <w:p>
      <w:pPr>
        <w:pStyle w:val="Corpsdetexte"/>
        <w:numPr>
          <w:ilvl w:val="0"/>
          <w:numId w:val="5"/>
        </w:numPr>
        <w:tabs>
          <w:tab w:val="clear" w:pos="709"/>
          <w:tab w:val="left" w:pos="709" w:leader="none"/>
        </w:tabs>
        <w:bidi w:val="0"/>
        <w:spacing w:before="0" w:after="0"/>
        <w:ind w:left="709" w:hanging="283"/>
        <w:jc w:val="left"/>
        <w:rPr/>
      </w:pPr>
      <w:r>
        <w:rPr/>
        <w:t>Évaluation des risques fournisseurs</w:t>
      </w:r>
    </w:p>
    <w:p>
      <w:pPr>
        <w:pStyle w:val="Corpsdetexte"/>
        <w:numPr>
          <w:ilvl w:val="0"/>
          <w:numId w:val="5"/>
        </w:numPr>
        <w:tabs>
          <w:tab w:val="clear" w:pos="709"/>
          <w:tab w:val="left" w:pos="709" w:leader="none"/>
        </w:tabs>
        <w:bidi w:val="0"/>
        <w:spacing w:before="0" w:after="0"/>
        <w:ind w:left="709" w:hanging="283"/>
        <w:jc w:val="left"/>
        <w:rPr/>
      </w:pPr>
      <w:r>
        <w:rPr/>
        <w:t>Exigences contractuelles de sécurité</w:t>
      </w:r>
    </w:p>
    <w:p>
      <w:pPr>
        <w:pStyle w:val="Corpsdetexte"/>
        <w:numPr>
          <w:ilvl w:val="0"/>
          <w:numId w:val="5"/>
        </w:numPr>
        <w:tabs>
          <w:tab w:val="clear" w:pos="709"/>
          <w:tab w:val="left" w:pos="709" w:leader="none"/>
        </w:tabs>
        <w:bidi w:val="0"/>
        <w:ind w:left="709" w:hanging="283"/>
        <w:jc w:val="left"/>
        <w:rPr/>
      </w:pPr>
      <w:r>
        <w:rPr/>
        <w:t>Surveillance et audits réguliers</w:t>
      </w:r>
    </w:p>
    <w:p>
      <w:pPr>
        <w:pStyle w:val="Lignehorizontale"/>
        <w:bidi w:val="0"/>
        <w:jc w:val="left"/>
        <w:rPr/>
      </w:pPr>
      <w:r>
        <w:rPr/>
      </w:r>
    </w:p>
    <w:p>
      <w:pPr>
        <w:pStyle w:val="Titre2"/>
        <w:bidi w:val="0"/>
        <w:jc w:val="left"/>
        <w:rPr/>
      </w:pPr>
      <w:r>
        <w:rPr/>
        <w:t>6. Politique de Continuité d'Activité et de Reprise après Sinistre</w:t>
      </w:r>
    </w:p>
    <w:p>
      <w:pPr>
        <w:pStyle w:val="Titre3"/>
        <w:bidi w:val="0"/>
        <w:jc w:val="left"/>
        <w:rPr/>
      </w:pPr>
      <w:r>
        <w:rPr/>
        <w:t>6.1 Objectif</w:t>
      </w:r>
    </w:p>
    <w:p>
      <w:pPr>
        <w:pStyle w:val="Corpsdetexte"/>
        <w:bidi w:val="0"/>
        <w:spacing w:lineRule="auto" w:line="276" w:before="0" w:after="140"/>
        <w:jc w:val="left"/>
        <w:rPr/>
      </w:pPr>
      <w:r>
        <w:rPr/>
        <w:t>Assurer la continuité des opérations et la reprise rapide après un incident majeur.</w:t>
      </w:r>
    </w:p>
    <w:p>
      <w:pPr>
        <w:pStyle w:val="Titre3"/>
        <w:bidi w:val="0"/>
        <w:jc w:val="left"/>
        <w:rPr/>
      </w:pPr>
      <w:r>
        <w:rPr/>
        <w:t>6.2 Contenu</w:t>
      </w:r>
    </w:p>
    <w:p>
      <w:pPr>
        <w:pStyle w:val="Corpsdetexte"/>
        <w:numPr>
          <w:ilvl w:val="0"/>
          <w:numId w:val="6"/>
        </w:numPr>
        <w:tabs>
          <w:tab w:val="clear" w:pos="709"/>
          <w:tab w:val="left" w:pos="709" w:leader="none"/>
        </w:tabs>
        <w:bidi w:val="0"/>
        <w:spacing w:before="0" w:after="0"/>
        <w:ind w:left="709" w:hanging="283"/>
        <w:jc w:val="left"/>
        <w:rPr/>
      </w:pPr>
      <w:r>
        <w:rPr/>
        <w:t>Plan de continuité des activités (PCA)</w:t>
      </w:r>
    </w:p>
    <w:p>
      <w:pPr>
        <w:pStyle w:val="Corpsdetexte"/>
        <w:numPr>
          <w:ilvl w:val="0"/>
          <w:numId w:val="6"/>
        </w:numPr>
        <w:tabs>
          <w:tab w:val="clear" w:pos="709"/>
          <w:tab w:val="left" w:pos="709" w:leader="none"/>
        </w:tabs>
        <w:bidi w:val="0"/>
        <w:spacing w:before="0" w:after="0"/>
        <w:ind w:left="709" w:hanging="283"/>
        <w:jc w:val="left"/>
        <w:rPr/>
      </w:pPr>
      <w:r>
        <w:rPr/>
        <w:t>Plan de reprise d'activité (PRA)</w:t>
      </w:r>
    </w:p>
    <w:p>
      <w:pPr>
        <w:pStyle w:val="Corpsdetexte"/>
        <w:numPr>
          <w:ilvl w:val="0"/>
          <w:numId w:val="6"/>
        </w:numPr>
        <w:tabs>
          <w:tab w:val="clear" w:pos="709"/>
          <w:tab w:val="left" w:pos="709" w:leader="none"/>
        </w:tabs>
        <w:bidi w:val="0"/>
        <w:ind w:left="709" w:hanging="283"/>
        <w:jc w:val="left"/>
        <w:rPr/>
      </w:pPr>
      <w:r>
        <w:rPr/>
        <w:t>Tests et exercices réguliers</w:t>
      </w:r>
    </w:p>
    <w:p>
      <w:pPr>
        <w:pStyle w:val="Lignehorizontale"/>
        <w:bidi w:val="0"/>
        <w:jc w:val="left"/>
        <w:rPr/>
      </w:pPr>
      <w:r>
        <w:rPr/>
      </w:r>
    </w:p>
    <w:p>
      <w:pPr>
        <w:pStyle w:val="Titre2"/>
        <w:bidi w:val="0"/>
        <w:jc w:val="left"/>
        <w:rPr/>
      </w:pPr>
      <w:r>
        <w:rPr/>
        <w:t>7. Politique de Conformité et de Gestion des Risques</w:t>
      </w:r>
    </w:p>
    <w:p>
      <w:pPr>
        <w:pStyle w:val="Titre3"/>
        <w:bidi w:val="0"/>
        <w:jc w:val="left"/>
        <w:rPr/>
      </w:pPr>
      <w:r>
        <w:rPr/>
        <w:t>7.1 Objectif</w:t>
      </w:r>
    </w:p>
    <w:p>
      <w:pPr>
        <w:pStyle w:val="Corpsdetexte"/>
        <w:bidi w:val="0"/>
        <w:spacing w:lineRule="auto" w:line="276" w:before="0" w:after="140"/>
        <w:jc w:val="left"/>
        <w:rPr/>
      </w:pPr>
      <w:r>
        <w:rPr/>
        <w:t>Assurer la conformité avec les réglementations et normes applicables, ainsi que la gestion proactive des risques informatiques.</w:t>
      </w:r>
    </w:p>
    <w:p>
      <w:pPr>
        <w:pStyle w:val="Titre3"/>
        <w:bidi w:val="0"/>
        <w:jc w:val="left"/>
        <w:rPr/>
      </w:pPr>
      <w:r>
        <w:rPr/>
        <w:t>7.2 Contenu</w:t>
      </w:r>
    </w:p>
    <w:p>
      <w:pPr>
        <w:pStyle w:val="Corpsdetexte"/>
        <w:numPr>
          <w:ilvl w:val="0"/>
          <w:numId w:val="7"/>
        </w:numPr>
        <w:tabs>
          <w:tab w:val="clear" w:pos="709"/>
          <w:tab w:val="left" w:pos="709" w:leader="none"/>
        </w:tabs>
        <w:bidi w:val="0"/>
        <w:spacing w:before="0" w:after="0"/>
        <w:ind w:left="709" w:hanging="283"/>
        <w:jc w:val="left"/>
        <w:rPr/>
      </w:pPr>
      <w:r>
        <w:rPr/>
        <w:t>Surveillance et audits de conformité</w:t>
      </w:r>
    </w:p>
    <w:p>
      <w:pPr>
        <w:pStyle w:val="Corpsdetexte"/>
        <w:numPr>
          <w:ilvl w:val="0"/>
          <w:numId w:val="7"/>
        </w:numPr>
        <w:tabs>
          <w:tab w:val="clear" w:pos="709"/>
          <w:tab w:val="left" w:pos="709" w:leader="none"/>
        </w:tabs>
        <w:bidi w:val="0"/>
        <w:spacing w:before="0" w:after="0"/>
        <w:ind w:left="709" w:hanging="283"/>
        <w:jc w:val="left"/>
        <w:rPr/>
      </w:pPr>
      <w:r>
        <w:rPr/>
        <w:t>Gestion des non-conformités</w:t>
      </w:r>
    </w:p>
    <w:p>
      <w:pPr>
        <w:pStyle w:val="Corpsdetexte"/>
        <w:numPr>
          <w:ilvl w:val="0"/>
          <w:numId w:val="7"/>
        </w:numPr>
        <w:tabs>
          <w:tab w:val="clear" w:pos="709"/>
          <w:tab w:val="left" w:pos="709" w:leader="none"/>
        </w:tabs>
        <w:bidi w:val="0"/>
        <w:ind w:left="709" w:hanging="283"/>
        <w:jc w:val="left"/>
        <w:rPr/>
      </w:pPr>
      <w:r>
        <w:rPr/>
        <w:t>Évaluation et traitement des risques</w:t>
      </w:r>
    </w:p>
    <w:p>
      <w:pPr>
        <w:pStyle w:val="Lignehorizontale"/>
        <w:bidi w:val="0"/>
        <w:jc w:val="left"/>
        <w:rPr/>
      </w:pPr>
      <w:r>
        <w:rPr/>
      </w:r>
    </w:p>
    <w:p>
      <w:pPr>
        <w:pStyle w:val="Titre2"/>
        <w:bidi w:val="0"/>
        <w:jc w:val="left"/>
        <w:rPr/>
      </w:pPr>
      <w:r>
        <w:rPr/>
        <w:t>8. Politique de Sécurité Physique</w:t>
      </w:r>
    </w:p>
    <w:p>
      <w:pPr>
        <w:pStyle w:val="Titre3"/>
        <w:bidi w:val="0"/>
        <w:jc w:val="left"/>
        <w:rPr/>
      </w:pPr>
      <w:r>
        <w:rPr/>
        <w:t>8.1 Objectif</w:t>
      </w:r>
    </w:p>
    <w:p>
      <w:pPr>
        <w:pStyle w:val="Corpsdetexte"/>
        <w:bidi w:val="0"/>
        <w:spacing w:lineRule="auto" w:line="276" w:before="0" w:after="140"/>
        <w:jc w:val="left"/>
        <w:rPr/>
      </w:pPr>
      <w:r>
        <w:rPr/>
        <w:t>Protéger les équipements et les locaux de Sensio Labs contre l'accès non autorisé, les dommages et le vol.</w:t>
      </w:r>
    </w:p>
    <w:p>
      <w:pPr>
        <w:pStyle w:val="Titre3"/>
        <w:bidi w:val="0"/>
        <w:jc w:val="left"/>
        <w:rPr/>
      </w:pPr>
      <w:r>
        <w:rPr/>
        <w:t>8.2 Contenu</w:t>
      </w:r>
    </w:p>
    <w:p>
      <w:pPr>
        <w:pStyle w:val="Corpsdetexte"/>
        <w:numPr>
          <w:ilvl w:val="0"/>
          <w:numId w:val="8"/>
        </w:numPr>
        <w:tabs>
          <w:tab w:val="clear" w:pos="709"/>
          <w:tab w:val="left" w:pos="709" w:leader="none"/>
        </w:tabs>
        <w:bidi w:val="0"/>
        <w:spacing w:before="0" w:after="0"/>
        <w:ind w:left="709" w:hanging="283"/>
        <w:jc w:val="left"/>
        <w:rPr/>
      </w:pPr>
      <w:r>
        <w:rPr/>
        <w:t>Contrôles d'accès physiques</w:t>
      </w:r>
    </w:p>
    <w:p>
      <w:pPr>
        <w:pStyle w:val="Corpsdetexte"/>
        <w:numPr>
          <w:ilvl w:val="0"/>
          <w:numId w:val="8"/>
        </w:numPr>
        <w:tabs>
          <w:tab w:val="clear" w:pos="709"/>
          <w:tab w:val="left" w:pos="709" w:leader="none"/>
        </w:tabs>
        <w:bidi w:val="0"/>
        <w:spacing w:before="0" w:after="0"/>
        <w:ind w:left="709" w:hanging="283"/>
        <w:jc w:val="left"/>
        <w:rPr/>
      </w:pPr>
      <w:r>
        <w:rPr/>
        <w:t>Surveillance des locaux</w:t>
      </w:r>
    </w:p>
    <w:p>
      <w:pPr>
        <w:pStyle w:val="Corpsdetexte"/>
        <w:numPr>
          <w:ilvl w:val="0"/>
          <w:numId w:val="8"/>
        </w:numPr>
        <w:tabs>
          <w:tab w:val="clear" w:pos="709"/>
          <w:tab w:val="left" w:pos="709" w:leader="none"/>
        </w:tabs>
        <w:bidi w:val="0"/>
        <w:ind w:left="709" w:hanging="283"/>
        <w:jc w:val="left"/>
        <w:rPr/>
      </w:pPr>
      <w:r>
        <w:rPr/>
        <w:t>Gestion des visiteurs</w:t>
      </w:r>
    </w:p>
    <w:p>
      <w:pPr>
        <w:pStyle w:val="Lignehorizontale"/>
        <w:bidi w:val="0"/>
        <w:jc w:val="left"/>
        <w:rPr/>
      </w:pPr>
      <w:r>
        <w:rPr/>
      </w:r>
    </w:p>
    <w:p>
      <w:pPr>
        <w:pStyle w:val="Titre2"/>
        <w:bidi w:val="0"/>
        <w:jc w:val="left"/>
        <w:rPr/>
      </w:pPr>
      <w:r>
        <w:rPr/>
        <w:t>9. Politique de Sensibilisation et de Formation à la Sécurité</w:t>
      </w:r>
    </w:p>
    <w:p>
      <w:pPr>
        <w:pStyle w:val="Titre3"/>
        <w:bidi w:val="0"/>
        <w:jc w:val="left"/>
        <w:rPr/>
      </w:pPr>
      <w:r>
        <w:rPr/>
        <w:t>9.1 Objectif</w:t>
      </w:r>
    </w:p>
    <w:p>
      <w:pPr>
        <w:pStyle w:val="Corpsdetexte"/>
        <w:bidi w:val="0"/>
        <w:spacing w:lineRule="auto" w:line="276" w:before="0" w:after="140"/>
        <w:jc w:val="left"/>
        <w:rPr/>
      </w:pPr>
      <w:r>
        <w:rPr/>
        <w:t>Former et sensibiliser les employés aux bonnes pratiques de sécurité informatique.</w:t>
      </w:r>
    </w:p>
    <w:p>
      <w:pPr>
        <w:pStyle w:val="Titre3"/>
        <w:bidi w:val="0"/>
        <w:jc w:val="left"/>
        <w:rPr/>
      </w:pPr>
      <w:r>
        <w:rPr/>
        <w:t>9.2 Contenu</w:t>
      </w:r>
    </w:p>
    <w:p>
      <w:pPr>
        <w:pStyle w:val="Corpsdetexte"/>
        <w:numPr>
          <w:ilvl w:val="0"/>
          <w:numId w:val="9"/>
        </w:numPr>
        <w:tabs>
          <w:tab w:val="clear" w:pos="709"/>
          <w:tab w:val="left" w:pos="709" w:leader="none"/>
        </w:tabs>
        <w:bidi w:val="0"/>
        <w:spacing w:before="0" w:after="0"/>
        <w:ind w:left="709" w:hanging="283"/>
        <w:jc w:val="left"/>
        <w:rPr/>
      </w:pPr>
      <w:r>
        <w:rPr/>
        <w:t>Formation initiale et continue sur la sécurité</w:t>
      </w:r>
    </w:p>
    <w:p>
      <w:pPr>
        <w:pStyle w:val="Corpsdetexte"/>
        <w:numPr>
          <w:ilvl w:val="0"/>
          <w:numId w:val="9"/>
        </w:numPr>
        <w:tabs>
          <w:tab w:val="clear" w:pos="709"/>
          <w:tab w:val="left" w:pos="709" w:leader="none"/>
        </w:tabs>
        <w:bidi w:val="0"/>
        <w:spacing w:before="0" w:after="0"/>
        <w:ind w:left="709" w:hanging="283"/>
        <w:jc w:val="left"/>
        <w:rPr/>
      </w:pPr>
      <w:r>
        <w:rPr/>
        <w:t>Campagnes de sensibilisation régulières</w:t>
      </w:r>
    </w:p>
    <w:p>
      <w:pPr>
        <w:pStyle w:val="Corpsdetexte"/>
        <w:numPr>
          <w:ilvl w:val="0"/>
          <w:numId w:val="9"/>
        </w:numPr>
        <w:tabs>
          <w:tab w:val="clear" w:pos="709"/>
          <w:tab w:val="left" w:pos="709" w:leader="none"/>
        </w:tabs>
        <w:bidi w:val="0"/>
        <w:ind w:left="709" w:hanging="283"/>
        <w:jc w:val="left"/>
        <w:rPr/>
      </w:pPr>
      <w:r>
        <w:rPr/>
        <w:t>Tests de sécurité et simulations d'attaques</w:t>
      </w:r>
    </w:p>
    <w:p>
      <w:pPr>
        <w:pStyle w:val="Lignehorizontale"/>
        <w:bidi w:val="0"/>
        <w:jc w:val="left"/>
        <w:rPr/>
      </w:pPr>
      <w:r>
        <w:rPr/>
      </w:r>
    </w:p>
    <w:p>
      <w:pPr>
        <w:pStyle w:val="Titre2"/>
        <w:bidi w:val="0"/>
        <w:jc w:val="left"/>
        <w:rPr/>
      </w:pPr>
      <w:r>
        <w:rPr/>
        <w:t>10. Responsabilités et Sanctions</w:t>
      </w:r>
    </w:p>
    <w:p>
      <w:pPr>
        <w:pStyle w:val="Titre3"/>
        <w:bidi w:val="0"/>
        <w:jc w:val="left"/>
        <w:rPr/>
      </w:pPr>
      <w:r>
        <w:rPr/>
        <w:t>10.1 Responsabilités</w:t>
      </w:r>
    </w:p>
    <w:p>
      <w:pPr>
        <w:pStyle w:val="Corpsdetexte"/>
        <w:bidi w:val="0"/>
        <w:spacing w:lineRule="auto" w:line="276" w:before="0" w:after="140"/>
        <w:jc w:val="left"/>
        <w:rPr/>
      </w:pPr>
      <w:r>
        <w:rPr/>
        <w:t>Définition des responsabilités des différents acteurs impliqués dans la sécurité informatique chez Sensio Labs, y compris la direction, les employés et les partenaires.</w:t>
      </w:r>
    </w:p>
    <w:p>
      <w:pPr>
        <w:pStyle w:val="Titre3"/>
        <w:bidi w:val="0"/>
        <w:jc w:val="left"/>
        <w:rPr/>
      </w:pPr>
      <w:r>
        <w:rPr/>
        <w:t>10.2 Sanctions en Cas de Non-Respect</w:t>
      </w:r>
    </w:p>
    <w:p>
      <w:pPr>
        <w:pStyle w:val="Corpsdetexte"/>
        <w:bidi w:val="0"/>
        <w:spacing w:lineRule="auto" w:line="276" w:before="0" w:after="140"/>
        <w:jc w:val="left"/>
        <w:rPr/>
      </w:pPr>
      <w:r>
        <w:rPr/>
        <w:t>Définition des sanctions disciplinaires en cas de violation des politiques de sécurité informatique.</w:t>
      </w:r>
    </w:p>
    <w:p>
      <w:pPr>
        <w:pStyle w:val="Normal"/>
        <w:bidi w:val="0"/>
        <w:jc w:val="lef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9">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0">
    <w:lvl w:ilvl="0">
      <w:start w:val="1"/>
      <w:pStyle w:val="Titre1"/>
      <w:numFmt w:val="none"/>
      <w:suff w:val="nothing"/>
      <w:lvlText w:val=""/>
      <w:lvlJc w:val="left"/>
      <w:pPr>
        <w:tabs>
          <w:tab w:val="num" w:pos="0"/>
        </w:tabs>
        <w:ind w:left="0" w:hanging="0"/>
      </w:pPr>
    </w:lvl>
    <w:lvl w:ilvl="1">
      <w:start w:val="1"/>
      <w:pStyle w:val="Titre2"/>
      <w:numFmt w:val="none"/>
      <w:suff w:val="nothing"/>
      <w:lvlText w:val=""/>
      <w:lvlJc w:val="left"/>
      <w:pPr>
        <w:tabs>
          <w:tab w:val="num" w:pos="0"/>
        </w:tabs>
        <w:ind w:left="0" w:hanging="0"/>
      </w:pPr>
    </w:lvl>
    <w:lvl w:ilvl="2">
      <w:start w:val="1"/>
      <w:pStyle w:val="Titre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fr-FR"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fr-FR" w:eastAsia="zh-CN" w:bidi="hi-IN"/>
    </w:rPr>
  </w:style>
  <w:style w:type="paragraph" w:styleId="Titre1">
    <w:name w:val="Heading 1"/>
    <w:basedOn w:val="Titre"/>
    <w:next w:val="Corpsdetexte"/>
    <w:qFormat/>
    <w:pPr>
      <w:spacing w:before="240" w:after="120"/>
      <w:outlineLvl w:val="0"/>
    </w:pPr>
    <w:rPr>
      <w:rFonts w:ascii="Liberation Serif" w:hAnsi="Liberation Serif" w:eastAsia="Noto Serif CJK SC" w:cs="Lohit Devanagari"/>
      <w:b/>
      <w:bCs/>
      <w:sz w:val="48"/>
      <w:szCs w:val="48"/>
    </w:rPr>
  </w:style>
  <w:style w:type="paragraph" w:styleId="Titre2">
    <w:name w:val="Heading 2"/>
    <w:basedOn w:val="Titre"/>
    <w:next w:val="Corpsdetexte"/>
    <w:qFormat/>
    <w:pPr>
      <w:spacing w:before="200" w:after="120"/>
      <w:outlineLvl w:val="1"/>
    </w:pPr>
    <w:rPr>
      <w:rFonts w:ascii="Liberation Serif" w:hAnsi="Liberation Serif" w:eastAsia="Noto Serif CJK SC" w:cs="Lohit Devanagari"/>
      <w:b/>
      <w:bCs/>
      <w:sz w:val="36"/>
      <w:szCs w:val="36"/>
    </w:rPr>
  </w:style>
  <w:style w:type="paragraph" w:styleId="Titre3">
    <w:name w:val="Heading 3"/>
    <w:basedOn w:val="Titre"/>
    <w:next w:val="Corpsdetexte"/>
    <w:qFormat/>
    <w:pPr>
      <w:spacing w:before="140" w:after="120"/>
      <w:outlineLvl w:val="2"/>
    </w:pPr>
    <w:rPr>
      <w:rFonts w:ascii="Liberation Serif" w:hAnsi="Liberation Serif" w:eastAsia="Noto Serif CJK SC" w:cs="Lohit Devanagari"/>
      <w:b/>
      <w:bCs/>
      <w:sz w:val="28"/>
      <w:szCs w:val="28"/>
    </w:rPr>
  </w:style>
  <w:style w:type="character" w:styleId="Puces">
    <w:name w:val="Puces"/>
    <w:qFormat/>
    <w:rPr>
      <w:rFonts w:ascii="OpenSymbol" w:hAnsi="OpenSymbol" w:eastAsia="OpenSymbol" w:cs="OpenSymbol"/>
    </w:rPr>
  </w:style>
  <w:style w:type="paragraph" w:styleId="Titre">
    <w:name w:val="Titre"/>
    <w:basedOn w:val="Normal"/>
    <w:next w:val="Corpsdetexte"/>
    <w:qFormat/>
    <w:pPr>
      <w:keepNext w:val="true"/>
      <w:spacing w:before="240" w:after="120"/>
    </w:pPr>
    <w:rPr>
      <w:rFonts w:ascii="Liberation Sans" w:hAnsi="Liberation Sans" w:eastAsia="Noto Sans CJK SC" w:cs="Lohit Devanagari"/>
      <w:sz w:val="28"/>
      <w:szCs w:val="28"/>
    </w:rPr>
  </w:style>
  <w:style w:type="paragraph" w:styleId="Corpsdetexte">
    <w:name w:val="Body Text"/>
    <w:basedOn w:val="Normal"/>
    <w:pPr>
      <w:spacing w:lineRule="auto" w:line="276" w:before="0" w:after="140"/>
    </w:pPr>
    <w:rPr/>
  </w:style>
  <w:style w:type="paragraph" w:styleId="Liste">
    <w:name w:val="List"/>
    <w:basedOn w:val="Corpsdetexte"/>
    <w:pPr/>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Lignehorizontale">
    <w:name w:val="Ligne horizontale"/>
    <w:basedOn w:val="Normal"/>
    <w:next w:val="Corpsdetexte"/>
    <w:qFormat/>
    <w:pPr>
      <w:suppressLineNumbers/>
      <w:pBdr>
        <w:bottom w:val="double" w:sz="2" w:space="0" w:color="808080"/>
      </w:pBdr>
      <w:spacing w:before="0" w:after="283"/>
    </w:pPr>
    <w:rPr>
      <w:sz w:val="12"/>
      <w:szCs w:val="1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TotalTime>
  <Application>LibreOffice/7.3.7.2$Linux_X86_64 LibreOffice_project/30$Build-2</Application>
  <AppVersion>15.0000</AppVersion>
  <Pages>4</Pages>
  <Words>553</Words>
  <Characters>3191</Characters>
  <CharactersWithSpaces>3636</CharactersWithSpaces>
  <Paragraphs>76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2024-07-16T13:15:07Z</dcterms:created>
  <dc:creator/>
  <dc:description/>
  <dc:language>fr-FR</dc:language>
  <cp:lastModifiedBy/>
  <dcterms:modified xsi:type="dcterms:W3CDTF">2024-07-16T13:18:29Z</dcterms:modified>
  <cp:revision>1</cp:revision>
  <dc:subject/>
  <dc:title/>
</cp:coreProperties>
</file>