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re1"/>
        <w:bidi w:val="0"/>
        <w:spacing w:before="200" w:after="120"/>
        <w:jc w:val="left"/>
        <w:rPr/>
      </w:pPr>
      <w:r>
        <w:rPr/>
        <w:t>Convention de service informatique de Sensio Labs</w:t>
      </w:r>
    </w:p>
    <w:p>
      <w:pPr>
        <w:pStyle w:val="Titre2"/>
        <w:bidi w:val="0"/>
        <w:spacing w:before="200" w:after="120"/>
        <w:jc w:val="left"/>
        <w:rPr/>
      </w:pPr>
      <w:r>
        <w:rPr/>
        <w:t>1. Introduction</w:t>
      </w:r>
    </w:p>
    <w:p>
      <w:pPr>
        <w:pStyle w:val="Titre3"/>
        <w:bidi w:val="0"/>
        <w:jc w:val="left"/>
        <w:rPr/>
      </w:pPr>
      <w:r>
        <w:rPr/>
        <w:t>1.1 Présentation de Sensio Labs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Sensio Labs est une société d'édition de logiciels basée en France, spécialisée dans le développement et la commercialisation de solutions logicielles innovantes pour divers secteurs d'activité.</w:t>
      </w:r>
    </w:p>
    <w:p>
      <w:pPr>
        <w:pStyle w:val="Titre3"/>
        <w:bidi w:val="0"/>
        <w:jc w:val="left"/>
        <w:rPr/>
      </w:pPr>
      <w:r>
        <w:rPr/>
        <w:t>1.2 Objectif du document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Ce document a pour objectif de définir les conventions de service informatique de Sensio Labs, en précisant les rôles, responsabilités, processus et politiques visant à assurer une gestion efficace et sécurisée des systèmes d'information.</w:t>
      </w:r>
    </w:p>
    <w:p>
      <w:pPr>
        <w:pStyle w:val="Titre3"/>
        <w:bidi w:val="0"/>
        <w:jc w:val="left"/>
        <w:rPr/>
      </w:pPr>
      <w:r>
        <w:rPr/>
        <w:t>1.3 Portée et applicabilité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Le document s'applique à tous les employés, prestataires, et partenaires de Sensio Labs ayant accès aux systèmes d'information de l'entreprise.</w:t>
      </w:r>
    </w:p>
    <w:p>
      <w:pPr>
        <w:pStyle w:val="Titre2"/>
        <w:bidi w:val="0"/>
        <w:jc w:val="left"/>
        <w:rPr/>
      </w:pPr>
      <w:r>
        <w:rPr/>
        <w:t>2. Définition des termes clés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Un glossaire des termes techniques et spécifiques à l'entreprise pour faciliter la compréhension du document.</w:t>
      </w:r>
    </w:p>
    <w:p>
      <w:pPr>
        <w:pStyle w:val="Corpsdetexte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SLA (Service Level Agreement)</w:t>
      </w:r>
      <w:r>
        <w:rPr/>
        <w:t xml:space="preserve"> : Accord de niveau de service.</w:t>
      </w:r>
    </w:p>
    <w:p>
      <w:pPr>
        <w:pStyle w:val="Corpsdetexte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Incident</w:t>
      </w:r>
      <w:r>
        <w:rPr/>
        <w:t xml:space="preserve"> : Un événement non planifié qui cause une interruption ou une réduction de la qualité d'un service informatique.</w:t>
      </w:r>
    </w:p>
    <w:p>
      <w:pPr>
        <w:pStyle w:val="Corpsdetexte"/>
        <w:numPr>
          <w:ilvl w:val="0"/>
          <w:numId w:val="2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Changement</w:t>
      </w:r>
      <w:r>
        <w:rPr/>
        <w:t xml:space="preserve"> : Toute modification apportée à l'infrastructure informatique ou aux services.</w:t>
      </w:r>
    </w:p>
    <w:p>
      <w:pPr>
        <w:pStyle w:val="Titre2"/>
        <w:bidi w:val="0"/>
        <w:jc w:val="left"/>
        <w:rPr/>
      </w:pPr>
      <w:r>
        <w:rPr/>
        <w:t>3. Gouvernance des services informatiques</w:t>
      </w:r>
    </w:p>
    <w:p>
      <w:pPr>
        <w:pStyle w:val="Titre3"/>
        <w:bidi w:val="0"/>
        <w:jc w:val="left"/>
        <w:rPr/>
      </w:pPr>
      <w:r>
        <w:rPr/>
        <w:t>3.1 Structure de gouvernance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Définition des rôles et responsabilités au sein de la gouvernance informatique, incluant les équipes de gestion, les responsables de services et les comités de direction.</w:t>
      </w:r>
    </w:p>
    <w:p>
      <w:pPr>
        <w:pStyle w:val="Titre3"/>
        <w:bidi w:val="0"/>
        <w:jc w:val="left"/>
        <w:rPr/>
      </w:pPr>
      <w:r>
        <w:rPr/>
        <w:t>3.2 Rôles et responsabilités</w:t>
      </w:r>
    </w:p>
    <w:p>
      <w:pPr>
        <w:pStyle w:val="Corpsdetexte"/>
        <w:numPr>
          <w:ilvl w:val="0"/>
          <w:numId w:val="3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Responsable des services d'information</w:t>
      </w:r>
      <w:r>
        <w:rPr/>
        <w:t xml:space="preserve"> : Supervise l'ensemble des activités informatiques.</w:t>
      </w:r>
    </w:p>
    <w:p>
      <w:pPr>
        <w:pStyle w:val="Corpsdetexte"/>
        <w:numPr>
          <w:ilvl w:val="0"/>
          <w:numId w:val="3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Administrateur système</w:t>
      </w:r>
      <w:r>
        <w:rPr/>
        <w:t xml:space="preserve"> : Gère les serveurs et l'infrastructure réseau.</w:t>
      </w:r>
    </w:p>
    <w:p>
      <w:pPr>
        <w:pStyle w:val="Corpsdetexte"/>
        <w:numPr>
          <w:ilvl w:val="0"/>
          <w:numId w:val="3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Responsable de la sécurité informatique</w:t>
      </w:r>
      <w:r>
        <w:rPr/>
        <w:t xml:space="preserve"> : Assure la sécurité des systèmes et des données.</w:t>
      </w:r>
    </w:p>
    <w:p>
      <w:pPr>
        <w:pStyle w:val="Titre3"/>
        <w:bidi w:val="0"/>
        <w:jc w:val="left"/>
        <w:rPr/>
      </w:pPr>
      <w:r>
        <w:rPr/>
        <w:t>3.3 Comités et réunions</w:t>
      </w:r>
    </w:p>
    <w:p>
      <w:pPr>
        <w:pStyle w:val="Corpsdetexte"/>
        <w:numPr>
          <w:ilvl w:val="0"/>
          <w:numId w:val="4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Comité de gouvernance informatique</w:t>
      </w:r>
      <w:r>
        <w:rPr/>
        <w:t xml:space="preserve"> : Se réunit mensuellement pour discuter des stratégies, des politiques et des projets informatiques.</w:t>
      </w:r>
    </w:p>
    <w:p>
      <w:pPr>
        <w:pStyle w:val="Corpsdetexte"/>
        <w:numPr>
          <w:ilvl w:val="0"/>
          <w:numId w:val="4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Réunions d'incidents</w:t>
      </w:r>
      <w:r>
        <w:rPr/>
        <w:t xml:space="preserve"> : Tenues en cas de problèmes critiques pour coordonner la réponse et la résolution.</w:t>
      </w:r>
    </w:p>
    <w:p>
      <w:pPr>
        <w:pStyle w:val="Titre2"/>
        <w:bidi w:val="0"/>
        <w:jc w:val="left"/>
        <w:rPr/>
      </w:pPr>
      <w:r>
        <w:rPr/>
        <w:t>4. Catalogue des services informatiques</w:t>
      </w:r>
    </w:p>
    <w:p>
      <w:pPr>
        <w:pStyle w:val="Titre3"/>
        <w:bidi w:val="0"/>
        <w:jc w:val="left"/>
        <w:rPr/>
      </w:pPr>
      <w:r>
        <w:rPr/>
        <w:t>4.1 Liste des services fournis</w:t>
      </w:r>
    </w:p>
    <w:p>
      <w:pPr>
        <w:pStyle w:val="Corpsdetexte"/>
        <w:numPr>
          <w:ilvl w:val="0"/>
          <w:numId w:val="5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Hébergement de serveurs</w:t>
      </w:r>
    </w:p>
    <w:p>
      <w:pPr>
        <w:pStyle w:val="Corpsdetexte"/>
        <w:numPr>
          <w:ilvl w:val="0"/>
          <w:numId w:val="5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Gestion des bases de données</w:t>
      </w:r>
    </w:p>
    <w:p>
      <w:pPr>
        <w:pStyle w:val="Corpsdetexte"/>
        <w:numPr>
          <w:ilvl w:val="0"/>
          <w:numId w:val="5"/>
        </w:numPr>
        <w:tabs>
          <w:tab w:val="left" w:pos="709" w:leader="none"/>
        </w:tabs>
        <w:bidi w:val="0"/>
        <w:ind w:left="709" w:hanging="283"/>
        <w:jc w:val="left"/>
        <w:rPr/>
      </w:pPr>
      <w:r>
        <w:rPr/>
        <w:t>Support utilisateur</w:t>
      </w:r>
    </w:p>
    <w:p>
      <w:pPr>
        <w:pStyle w:val="Titre3"/>
        <w:bidi w:val="0"/>
        <w:jc w:val="left"/>
        <w:rPr/>
      </w:pPr>
      <w:r>
        <w:rPr/>
        <w:t>4.2 Descriptions détaillées de chaque service</w:t>
      </w:r>
    </w:p>
    <w:p>
      <w:pPr>
        <w:pStyle w:val="Corpsdetexte"/>
        <w:numPr>
          <w:ilvl w:val="0"/>
          <w:numId w:val="6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Hébergement de serveurs</w:t>
      </w:r>
      <w:r>
        <w:rPr/>
        <w:t xml:space="preserve"> : Fourniture et maintenance des serveurs hébergeant les applications et les données.</w:t>
      </w:r>
    </w:p>
    <w:p>
      <w:pPr>
        <w:pStyle w:val="Corpsdetexte"/>
        <w:numPr>
          <w:ilvl w:val="0"/>
          <w:numId w:val="6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Gestion des bases de données</w:t>
      </w:r>
      <w:r>
        <w:rPr/>
        <w:t xml:space="preserve"> : Administration des bases de données, incluant les sauvegardes et la récupération.</w:t>
      </w:r>
    </w:p>
    <w:p>
      <w:pPr>
        <w:pStyle w:val="Titre3"/>
        <w:bidi w:val="0"/>
        <w:jc w:val="left"/>
        <w:rPr/>
      </w:pPr>
      <w:r>
        <w:rPr/>
        <w:t>4.3 Niveaux de service attendus</w:t>
      </w:r>
    </w:p>
    <w:p>
      <w:pPr>
        <w:pStyle w:val="Corpsdetexte"/>
        <w:numPr>
          <w:ilvl w:val="0"/>
          <w:numId w:val="7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Disponibilité</w:t>
      </w:r>
      <w:r>
        <w:rPr/>
        <w:t xml:space="preserve"> : 99.9% de disponibilité pour les services critiques.</w:t>
      </w:r>
    </w:p>
    <w:p>
      <w:pPr>
        <w:pStyle w:val="Corpsdetexte"/>
        <w:numPr>
          <w:ilvl w:val="0"/>
          <w:numId w:val="7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Temps de réponse</w:t>
      </w:r>
      <w:r>
        <w:rPr/>
        <w:t xml:space="preserve"> : Réponse aux demandes de support dans un délai de 4 heures ouvrables.</w:t>
      </w:r>
    </w:p>
    <w:p>
      <w:pPr>
        <w:pStyle w:val="Titre2"/>
        <w:bidi w:val="0"/>
        <w:jc w:val="left"/>
        <w:rPr/>
      </w:pPr>
      <w:r>
        <w:rPr/>
        <w:t>5. Gestion des incidents et des problèmes</w:t>
      </w:r>
    </w:p>
    <w:p>
      <w:pPr>
        <w:pStyle w:val="Titre3"/>
        <w:bidi w:val="0"/>
        <w:jc w:val="left"/>
        <w:rPr/>
      </w:pPr>
      <w:r>
        <w:rPr/>
        <w:t>5.1 Processus de gestion des incidents</w:t>
      </w:r>
    </w:p>
    <w:p>
      <w:pPr>
        <w:pStyle w:val="Corpsdetexte"/>
        <w:numPr>
          <w:ilvl w:val="0"/>
          <w:numId w:val="8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Déclaration</w:t>
      </w:r>
      <w:r>
        <w:rPr/>
        <w:t xml:space="preserve"> : Les incidents doivent être signalés via le système de ticketing.</w:t>
      </w:r>
    </w:p>
    <w:p>
      <w:pPr>
        <w:pStyle w:val="Corpsdetexte"/>
        <w:numPr>
          <w:ilvl w:val="0"/>
          <w:numId w:val="8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Priorisation</w:t>
      </w:r>
      <w:r>
        <w:rPr/>
        <w:t xml:space="preserve"> : Les incidents sont classés par niveau de gravité.</w:t>
      </w:r>
    </w:p>
    <w:p>
      <w:pPr>
        <w:pStyle w:val="Titre3"/>
        <w:bidi w:val="0"/>
        <w:jc w:val="left"/>
        <w:rPr/>
      </w:pPr>
      <w:r>
        <w:rPr/>
        <w:t>5.2 Classification des incidents</w:t>
      </w:r>
    </w:p>
    <w:p>
      <w:pPr>
        <w:pStyle w:val="Corpsdetexte"/>
        <w:numPr>
          <w:ilvl w:val="0"/>
          <w:numId w:val="9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Critique</w:t>
      </w:r>
      <w:r>
        <w:rPr/>
        <w:t xml:space="preserve"> : Interruption totale d'un service essentiel.</w:t>
      </w:r>
    </w:p>
    <w:p>
      <w:pPr>
        <w:pStyle w:val="Corpsdetexte"/>
        <w:numPr>
          <w:ilvl w:val="0"/>
          <w:numId w:val="9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Majeur</w:t>
      </w:r>
      <w:r>
        <w:rPr/>
        <w:t xml:space="preserve"> : Dégradation significative de la performance d'un service.</w:t>
      </w:r>
    </w:p>
    <w:p>
      <w:pPr>
        <w:pStyle w:val="Corpsdetexte"/>
        <w:numPr>
          <w:ilvl w:val="0"/>
          <w:numId w:val="9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Mineur</w:t>
      </w:r>
      <w:r>
        <w:rPr/>
        <w:t xml:space="preserve"> : Problème affectant un nombre limité d'utilisateurs.</w:t>
      </w:r>
    </w:p>
    <w:p>
      <w:pPr>
        <w:pStyle w:val="Titre3"/>
        <w:bidi w:val="0"/>
        <w:jc w:val="left"/>
        <w:rPr/>
      </w:pPr>
      <w:r>
        <w:rPr/>
        <w:t>5.3 Procédures de résolution des problèmes</w:t>
      </w:r>
    </w:p>
    <w:p>
      <w:pPr>
        <w:pStyle w:val="Corpsdetexte"/>
        <w:numPr>
          <w:ilvl w:val="0"/>
          <w:numId w:val="10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Analyse des causes profondes</w:t>
      </w:r>
      <w:r>
        <w:rPr/>
        <w:t xml:space="preserve"> : Identification de la cause principale d'un incident récurrent.</w:t>
      </w:r>
    </w:p>
    <w:p>
      <w:pPr>
        <w:pStyle w:val="Corpsdetexte"/>
        <w:numPr>
          <w:ilvl w:val="0"/>
          <w:numId w:val="10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Plan d'action</w:t>
      </w:r>
      <w:r>
        <w:rPr/>
        <w:t xml:space="preserve"> : Élaboration et mise en œuvre de mesures correctives.</w:t>
      </w:r>
    </w:p>
    <w:p>
      <w:pPr>
        <w:pStyle w:val="Titre2"/>
        <w:bidi w:val="0"/>
        <w:jc w:val="left"/>
        <w:rPr/>
      </w:pPr>
      <w:r>
        <w:rPr/>
        <w:t>6. Gestion des changements</w:t>
      </w:r>
    </w:p>
    <w:p>
      <w:pPr>
        <w:pStyle w:val="Titre3"/>
        <w:bidi w:val="0"/>
        <w:jc w:val="left"/>
        <w:rPr/>
      </w:pPr>
      <w:r>
        <w:rPr/>
        <w:t>6.1 Processus de gestion des changements</w:t>
      </w:r>
    </w:p>
    <w:p>
      <w:pPr>
        <w:pStyle w:val="Corpsdetexte"/>
        <w:numPr>
          <w:ilvl w:val="0"/>
          <w:numId w:val="11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Demande de changement</w:t>
      </w:r>
      <w:r>
        <w:rPr/>
        <w:t xml:space="preserve"> : Toute demande doit être documentée et soumise pour approbation.</w:t>
      </w:r>
    </w:p>
    <w:p>
      <w:pPr>
        <w:pStyle w:val="Corpsdetexte"/>
        <w:numPr>
          <w:ilvl w:val="0"/>
          <w:numId w:val="11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Évaluation</w:t>
      </w:r>
      <w:r>
        <w:rPr/>
        <w:t xml:space="preserve"> : Analyse des impacts potentiels et des risques associés.</w:t>
      </w:r>
    </w:p>
    <w:p>
      <w:pPr>
        <w:pStyle w:val="Titre3"/>
        <w:bidi w:val="0"/>
        <w:jc w:val="left"/>
        <w:rPr/>
      </w:pPr>
      <w:r>
        <w:rPr/>
        <w:t>6.2 Évaluation et approbation des changements</w:t>
      </w:r>
    </w:p>
    <w:p>
      <w:pPr>
        <w:pStyle w:val="Corpsdetexte"/>
        <w:numPr>
          <w:ilvl w:val="0"/>
          <w:numId w:val="12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Comité de changement</w:t>
      </w:r>
      <w:r>
        <w:rPr/>
        <w:t xml:space="preserve"> : Évalue et approuve ou rejette les demandes de changement.</w:t>
      </w:r>
    </w:p>
    <w:p>
      <w:pPr>
        <w:pStyle w:val="Titre3"/>
        <w:bidi w:val="0"/>
        <w:jc w:val="left"/>
        <w:rPr/>
      </w:pPr>
      <w:r>
        <w:rPr/>
        <w:t>6.3 Communication et mise en œuvre des changements</w:t>
      </w:r>
    </w:p>
    <w:p>
      <w:pPr>
        <w:pStyle w:val="Corpsdetexte"/>
        <w:numPr>
          <w:ilvl w:val="0"/>
          <w:numId w:val="13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Plan de communication</w:t>
      </w:r>
      <w:r>
        <w:rPr/>
        <w:t xml:space="preserve"> : Notification des parties prenantes concernées.</w:t>
      </w:r>
    </w:p>
    <w:p>
      <w:pPr>
        <w:pStyle w:val="Corpsdetexte"/>
        <w:numPr>
          <w:ilvl w:val="0"/>
          <w:numId w:val="13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Mise en œuvre</w:t>
      </w:r>
      <w:r>
        <w:rPr/>
        <w:t xml:space="preserve"> : Exécution du changement selon un plan détaillé.</w:t>
      </w:r>
    </w:p>
    <w:p>
      <w:pPr>
        <w:pStyle w:val="Titre2"/>
        <w:bidi w:val="0"/>
        <w:jc w:val="left"/>
        <w:rPr/>
      </w:pPr>
      <w:r>
        <w:rPr/>
        <w:t>7. Gestion des actifs et des configurations</w:t>
      </w:r>
    </w:p>
    <w:p>
      <w:pPr>
        <w:pStyle w:val="Titre3"/>
        <w:bidi w:val="0"/>
        <w:jc w:val="left"/>
        <w:rPr/>
      </w:pPr>
      <w:r>
        <w:rPr/>
        <w:t>7.1 Inventaire des actifs</w:t>
      </w:r>
    </w:p>
    <w:p>
      <w:pPr>
        <w:pStyle w:val="Corpsdetexte"/>
        <w:numPr>
          <w:ilvl w:val="0"/>
          <w:numId w:val="14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Enregistrement</w:t>
      </w:r>
      <w:r>
        <w:rPr/>
        <w:t xml:space="preserve"> : Tous les actifs doivent être inventoriés avec des informations détaillées (numéro de série, emplacement, utilisateur).</w:t>
      </w:r>
    </w:p>
    <w:p>
      <w:pPr>
        <w:pStyle w:val="Titre3"/>
        <w:bidi w:val="0"/>
        <w:jc w:val="left"/>
        <w:rPr/>
      </w:pPr>
      <w:r>
        <w:rPr/>
        <w:t>7.2 Gestion des configurations</w:t>
      </w:r>
    </w:p>
    <w:p>
      <w:pPr>
        <w:pStyle w:val="Corpsdetexte"/>
        <w:numPr>
          <w:ilvl w:val="0"/>
          <w:numId w:val="15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Base de données de gestion des configurations (CMDB)</w:t>
      </w:r>
      <w:r>
        <w:rPr/>
        <w:t xml:space="preserve"> : Contient toutes les informations sur les configurations des systèmes.</w:t>
      </w:r>
    </w:p>
    <w:p>
      <w:pPr>
        <w:pStyle w:val="Titre3"/>
        <w:bidi w:val="0"/>
        <w:jc w:val="left"/>
        <w:rPr/>
      </w:pPr>
      <w:r>
        <w:rPr/>
        <w:t>7.3 Suivi et maintenance des actifs</w:t>
      </w:r>
    </w:p>
    <w:p>
      <w:pPr>
        <w:pStyle w:val="Corpsdetexte"/>
        <w:numPr>
          <w:ilvl w:val="0"/>
          <w:numId w:val="16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Audit</w:t>
      </w:r>
      <w:r>
        <w:rPr/>
        <w:t xml:space="preserve"> : Réalisation d'audits périodiques pour vérifier l'exactitude de l'inventaire.</w:t>
      </w:r>
    </w:p>
    <w:p>
      <w:pPr>
        <w:pStyle w:val="Corpsdetexte"/>
        <w:numPr>
          <w:ilvl w:val="0"/>
          <w:numId w:val="16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Maintenance préventive</w:t>
      </w:r>
      <w:r>
        <w:rPr/>
        <w:t xml:space="preserve"> : Planification et exécution de la maintenance régulière des actifs.</w:t>
      </w:r>
    </w:p>
    <w:p>
      <w:pPr>
        <w:pStyle w:val="Titre2"/>
        <w:bidi w:val="0"/>
        <w:jc w:val="left"/>
        <w:rPr/>
      </w:pPr>
      <w:r>
        <w:rPr/>
        <w:t>8. Sécurité des systèmes d'information</w:t>
      </w:r>
    </w:p>
    <w:p>
      <w:pPr>
        <w:pStyle w:val="Titre3"/>
        <w:bidi w:val="0"/>
        <w:jc w:val="left"/>
        <w:rPr/>
      </w:pPr>
      <w:r>
        <w:rPr/>
        <w:t>8.1 Politiques de sécurité</w:t>
      </w:r>
    </w:p>
    <w:p>
      <w:pPr>
        <w:pStyle w:val="Corpsdetexte"/>
        <w:numPr>
          <w:ilvl w:val="0"/>
          <w:numId w:val="17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Politique de mots de passe</w:t>
      </w:r>
      <w:r>
        <w:rPr/>
        <w:t xml:space="preserve"> : Exige des mots de passe complexes et des changements réguliers.</w:t>
      </w:r>
    </w:p>
    <w:p>
      <w:pPr>
        <w:pStyle w:val="Corpsdetexte"/>
        <w:numPr>
          <w:ilvl w:val="0"/>
          <w:numId w:val="17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Politique de BYOD (Bring Your Own Device)</w:t>
      </w:r>
      <w:r>
        <w:rPr/>
        <w:t xml:space="preserve"> : Réglemente l'utilisation des appareils personnels sur le réseau de l'entreprise.</w:t>
      </w:r>
    </w:p>
    <w:p>
      <w:pPr>
        <w:pStyle w:val="Titre3"/>
        <w:bidi w:val="0"/>
        <w:jc w:val="left"/>
        <w:rPr/>
      </w:pPr>
      <w:r>
        <w:rPr/>
        <w:t>8.2 Contrôles d'accès</w:t>
      </w:r>
    </w:p>
    <w:p>
      <w:pPr>
        <w:pStyle w:val="Corpsdetexte"/>
        <w:numPr>
          <w:ilvl w:val="0"/>
          <w:numId w:val="18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Contrôle des accès physiques</w:t>
      </w:r>
      <w:r>
        <w:rPr/>
        <w:t xml:space="preserve"> : Restriction d'accès aux zones sensibles.</w:t>
      </w:r>
    </w:p>
    <w:p>
      <w:pPr>
        <w:pStyle w:val="Corpsdetexte"/>
        <w:numPr>
          <w:ilvl w:val="0"/>
          <w:numId w:val="18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Contrôle des accès logiques</w:t>
      </w:r>
      <w:r>
        <w:rPr/>
        <w:t xml:space="preserve"> : Gestion des droits d'accès aux systèmes et aux données.</w:t>
      </w:r>
    </w:p>
    <w:p>
      <w:pPr>
        <w:pStyle w:val="Titre3"/>
        <w:bidi w:val="0"/>
        <w:jc w:val="left"/>
        <w:rPr/>
      </w:pPr>
      <w:r>
        <w:rPr/>
        <w:t>8.3 Surveillance et audit</w:t>
      </w:r>
    </w:p>
    <w:p>
      <w:pPr>
        <w:pStyle w:val="Corpsdetexte"/>
        <w:numPr>
          <w:ilvl w:val="0"/>
          <w:numId w:val="19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Surveillance continue</w:t>
      </w:r>
      <w:r>
        <w:rPr/>
        <w:t xml:space="preserve"> : Utilisation de systèmes de détection d'intrusion et de surveillance des réseaux.</w:t>
      </w:r>
    </w:p>
    <w:p>
      <w:pPr>
        <w:pStyle w:val="Corpsdetexte"/>
        <w:numPr>
          <w:ilvl w:val="0"/>
          <w:numId w:val="19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Audit de sécurité</w:t>
      </w:r>
      <w:r>
        <w:rPr/>
        <w:t xml:space="preserve"> : Réalisation d'audits de sécurité réguliers pour identifier les vulnérabilités.</w:t>
      </w:r>
    </w:p>
    <w:p>
      <w:pPr>
        <w:pStyle w:val="Titre2"/>
        <w:bidi w:val="0"/>
        <w:jc w:val="left"/>
        <w:rPr/>
      </w:pPr>
      <w:r>
        <w:rPr/>
        <w:t>9. Gestion des risques et de la conformité</w:t>
      </w:r>
    </w:p>
    <w:p>
      <w:pPr>
        <w:pStyle w:val="Titre3"/>
        <w:bidi w:val="0"/>
        <w:jc w:val="left"/>
        <w:rPr/>
      </w:pPr>
      <w:r>
        <w:rPr/>
        <w:t>9.1 Identification et évaluation des risques</w:t>
      </w:r>
    </w:p>
    <w:p>
      <w:pPr>
        <w:pStyle w:val="Corpsdetexte"/>
        <w:numPr>
          <w:ilvl w:val="0"/>
          <w:numId w:val="20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Évaluation des risques</w:t>
      </w:r>
      <w:r>
        <w:rPr/>
        <w:t xml:space="preserve"> : Réalisation d'analyses régulières des risques pour identifier et évaluer les menaces potentielles.</w:t>
      </w:r>
    </w:p>
    <w:p>
      <w:pPr>
        <w:pStyle w:val="Titre3"/>
        <w:bidi w:val="0"/>
        <w:jc w:val="left"/>
        <w:rPr/>
      </w:pPr>
      <w:r>
        <w:rPr/>
        <w:t>9.2 Mesures d'atténuation des risques</w:t>
      </w:r>
    </w:p>
    <w:p>
      <w:pPr>
        <w:pStyle w:val="Corpsdetexte"/>
        <w:numPr>
          <w:ilvl w:val="0"/>
          <w:numId w:val="21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Plans de mitigation</w:t>
      </w:r>
      <w:r>
        <w:rPr/>
        <w:t xml:space="preserve"> : Développement de stratégies pour réduire les risques identifiés.</w:t>
      </w:r>
    </w:p>
    <w:p>
      <w:pPr>
        <w:pStyle w:val="Titre3"/>
        <w:bidi w:val="0"/>
        <w:jc w:val="left"/>
        <w:rPr/>
      </w:pPr>
      <w:r>
        <w:rPr/>
        <w:t>9.3 Conformité réglementaire</w:t>
      </w:r>
    </w:p>
    <w:p>
      <w:pPr>
        <w:pStyle w:val="Corpsdetexte"/>
        <w:numPr>
          <w:ilvl w:val="0"/>
          <w:numId w:val="22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Normes et régulations</w:t>
      </w:r>
      <w:r>
        <w:rPr/>
        <w:t xml:space="preserve"> : Respect des lois et des normes applicables, telles que le RGPD.</w:t>
      </w:r>
    </w:p>
    <w:p>
      <w:pPr>
        <w:pStyle w:val="Titre2"/>
        <w:bidi w:val="0"/>
        <w:jc w:val="left"/>
        <w:rPr/>
      </w:pPr>
      <w:r>
        <w:rPr/>
        <w:t>10. Continuité des activités et plan de reprise après sinistre</w:t>
      </w:r>
    </w:p>
    <w:p>
      <w:pPr>
        <w:pStyle w:val="Titre3"/>
        <w:bidi w:val="0"/>
        <w:jc w:val="left"/>
        <w:rPr/>
      </w:pPr>
      <w:r>
        <w:rPr/>
        <w:t>10.1 Planification de la continuité des activités</w:t>
      </w:r>
    </w:p>
    <w:p>
      <w:pPr>
        <w:pStyle w:val="Corpsdetexte"/>
        <w:numPr>
          <w:ilvl w:val="0"/>
          <w:numId w:val="23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BCP (Business Continuity Plan)</w:t>
      </w:r>
      <w:r>
        <w:rPr/>
        <w:t xml:space="preserve"> : Développement de plans pour assurer la continuité des opérations en cas de perturbations.</w:t>
      </w:r>
    </w:p>
    <w:p>
      <w:pPr>
        <w:pStyle w:val="Titre3"/>
        <w:bidi w:val="0"/>
        <w:jc w:val="left"/>
        <w:rPr/>
      </w:pPr>
      <w:r>
        <w:rPr/>
        <w:t>10.2 Stratégies de reprise après sinistre</w:t>
      </w:r>
    </w:p>
    <w:p>
      <w:pPr>
        <w:pStyle w:val="Corpsdetexte"/>
        <w:numPr>
          <w:ilvl w:val="0"/>
          <w:numId w:val="24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DRP (Disaster Recovery Plan)</w:t>
      </w:r>
      <w:r>
        <w:rPr/>
        <w:t xml:space="preserve"> : Mise en place de stratégies pour la récupération rapide des systèmes critiques après un sinistre.</w:t>
      </w:r>
    </w:p>
    <w:p>
      <w:pPr>
        <w:pStyle w:val="Titre3"/>
        <w:bidi w:val="0"/>
        <w:jc w:val="left"/>
        <w:rPr/>
      </w:pPr>
      <w:r>
        <w:rPr/>
        <w:t>10.3 Tests et exercices de reprise</w:t>
      </w:r>
    </w:p>
    <w:p>
      <w:pPr>
        <w:pStyle w:val="Corpsdetexte"/>
        <w:numPr>
          <w:ilvl w:val="0"/>
          <w:numId w:val="25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Tests réguliers</w:t>
      </w:r>
      <w:r>
        <w:rPr/>
        <w:t xml:space="preserve"> : Exécution de tests périodiques des plans de continuité et de reprise pour assurer leur efficacité.</w:t>
      </w:r>
    </w:p>
    <w:p>
      <w:pPr>
        <w:pStyle w:val="Titre2"/>
        <w:bidi w:val="0"/>
        <w:jc w:val="left"/>
        <w:rPr/>
      </w:pPr>
      <w:r>
        <w:rPr/>
        <w:t>11. Gestion de la qualité des services</w:t>
      </w:r>
    </w:p>
    <w:p>
      <w:pPr>
        <w:pStyle w:val="Titre3"/>
        <w:bidi w:val="0"/>
        <w:jc w:val="left"/>
        <w:rPr/>
      </w:pPr>
      <w:r>
        <w:rPr/>
        <w:t>11.1 Indicateurs de performance clés (KPI)</w:t>
      </w:r>
    </w:p>
    <w:p>
      <w:pPr>
        <w:pStyle w:val="Corpsdetexte"/>
        <w:numPr>
          <w:ilvl w:val="0"/>
          <w:numId w:val="26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KPI</w:t>
      </w:r>
      <w:r>
        <w:rPr/>
        <w:t xml:space="preserve"> : Définition d'indicateurs pour mesurer la performance des services informatiques (disponibilité, temps de réponse, satisfaction des utilisateurs).</w:t>
      </w:r>
    </w:p>
    <w:p>
      <w:pPr>
        <w:pStyle w:val="Titre3"/>
        <w:bidi w:val="0"/>
        <w:jc w:val="left"/>
        <w:rPr/>
      </w:pPr>
      <w:r>
        <w:rPr/>
        <w:t>11.2 Rapports et tableaux de bord</w:t>
      </w:r>
    </w:p>
    <w:p>
      <w:pPr>
        <w:pStyle w:val="Corpsdetexte"/>
        <w:numPr>
          <w:ilvl w:val="0"/>
          <w:numId w:val="27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Rapports mensuels</w:t>
      </w:r>
      <w:r>
        <w:rPr/>
        <w:t xml:space="preserve"> : Production de rapports réguliers sur les performances des services.</w:t>
      </w:r>
    </w:p>
    <w:p>
      <w:pPr>
        <w:pStyle w:val="Corpsdetexte"/>
        <w:numPr>
          <w:ilvl w:val="0"/>
          <w:numId w:val="27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Tableaux de bord</w:t>
      </w:r>
      <w:r>
        <w:rPr/>
        <w:t xml:space="preserve"> : Utilisation de tableaux de bord pour visualiser les KPI en temps réel.</w:t>
      </w:r>
    </w:p>
    <w:p>
      <w:pPr>
        <w:pStyle w:val="Titre3"/>
        <w:bidi w:val="0"/>
        <w:jc w:val="left"/>
        <w:rPr/>
      </w:pPr>
      <w:r>
        <w:rPr/>
        <w:t>11.3 Amélioration continue des services</w:t>
      </w:r>
    </w:p>
    <w:p>
      <w:pPr>
        <w:pStyle w:val="Corpsdetexte"/>
        <w:numPr>
          <w:ilvl w:val="0"/>
          <w:numId w:val="28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Révisions périodiques</w:t>
      </w:r>
      <w:r>
        <w:rPr/>
        <w:t xml:space="preserve"> : Réalisation de revues régulières des processus et des services pour identifier les opportunités d'amélioration.</w:t>
      </w:r>
    </w:p>
    <w:p>
      <w:pPr>
        <w:pStyle w:val="Titre2"/>
        <w:bidi w:val="0"/>
        <w:jc w:val="left"/>
        <w:rPr/>
      </w:pPr>
      <w:r>
        <w:rPr/>
        <w:t>12. Formation et sensibilisation</w:t>
      </w:r>
    </w:p>
    <w:p>
      <w:pPr>
        <w:pStyle w:val="Titre3"/>
        <w:bidi w:val="0"/>
        <w:jc w:val="left"/>
        <w:rPr/>
      </w:pPr>
      <w:r>
        <w:rPr/>
        <w:t>12.1 Programmes de formation</w:t>
      </w:r>
    </w:p>
    <w:p>
      <w:pPr>
        <w:pStyle w:val="Corpsdetexte"/>
        <w:numPr>
          <w:ilvl w:val="0"/>
          <w:numId w:val="29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Formation initiale</w:t>
      </w:r>
      <w:r>
        <w:rPr/>
        <w:t xml:space="preserve"> : Programme de formation pour les nouveaux employés.</w:t>
      </w:r>
    </w:p>
    <w:p>
      <w:pPr>
        <w:pStyle w:val="Corpsdetexte"/>
        <w:numPr>
          <w:ilvl w:val="0"/>
          <w:numId w:val="29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Formation continue</w:t>
      </w:r>
      <w:r>
        <w:rPr/>
        <w:t xml:space="preserve"> : Sessions de formation régulières pour les employés existants.</w:t>
      </w:r>
    </w:p>
    <w:p>
      <w:pPr>
        <w:pStyle w:val="Titre3"/>
        <w:bidi w:val="0"/>
        <w:jc w:val="left"/>
        <w:rPr/>
      </w:pPr>
      <w:r>
        <w:rPr/>
        <w:t>12.2 Sensibilisation à la sécurité</w:t>
      </w:r>
    </w:p>
    <w:p>
      <w:pPr>
        <w:pStyle w:val="Corpsdetexte"/>
        <w:numPr>
          <w:ilvl w:val="0"/>
          <w:numId w:val="30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Campagnes de sensibilisation</w:t>
      </w:r>
      <w:r>
        <w:rPr/>
        <w:t xml:space="preserve"> : Initiatives pour éduquer les employés sur les bonnes pratiques de sécurité.</w:t>
      </w:r>
    </w:p>
    <w:p>
      <w:pPr>
        <w:pStyle w:val="Titre3"/>
        <w:bidi w:val="0"/>
        <w:jc w:val="left"/>
        <w:rPr/>
      </w:pPr>
      <w:r>
        <w:rPr/>
        <w:t>12.3 Documentation et ressources</w:t>
      </w:r>
    </w:p>
    <w:p>
      <w:pPr>
        <w:pStyle w:val="Corpsdetexte"/>
        <w:numPr>
          <w:ilvl w:val="0"/>
          <w:numId w:val="31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Manuels et guides</w:t>
      </w:r>
      <w:r>
        <w:rPr/>
        <w:t xml:space="preserve"> : Fourniture de documentation détaillée sur les processus et les politiques informatiques.</w:t>
      </w:r>
    </w:p>
    <w:p>
      <w:pPr>
        <w:pStyle w:val="Titre2"/>
        <w:bidi w:val="0"/>
        <w:jc w:val="left"/>
        <w:rPr/>
      </w:pPr>
      <w:r>
        <w:rPr/>
        <w:t>13. Politique de confidentialité et de protection des données</w:t>
      </w:r>
    </w:p>
    <w:p>
      <w:pPr>
        <w:pStyle w:val="Titre3"/>
        <w:bidi w:val="0"/>
        <w:jc w:val="left"/>
        <w:rPr/>
      </w:pPr>
      <w:r>
        <w:rPr/>
        <w:t>13.1 Collecte et traitement des données</w:t>
      </w:r>
    </w:p>
    <w:p>
      <w:pPr>
        <w:pStyle w:val="Corpsdetexte"/>
        <w:numPr>
          <w:ilvl w:val="0"/>
          <w:numId w:val="32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Principes de collecte</w:t>
      </w:r>
      <w:r>
        <w:rPr/>
        <w:t xml:space="preserve"> : Collecte des données uniquement pour des fins spécifiques et légitimes.</w:t>
      </w:r>
    </w:p>
    <w:p>
      <w:pPr>
        <w:pStyle w:val="Corpsdetexte"/>
        <w:numPr>
          <w:ilvl w:val="0"/>
          <w:numId w:val="32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Traitement sécurisé</w:t>
      </w:r>
      <w:r>
        <w:rPr/>
        <w:t xml:space="preserve"> : Traitement des données personnelles avec des mesures de sécurité appropriées.</w:t>
      </w:r>
    </w:p>
    <w:p>
      <w:pPr>
        <w:pStyle w:val="Titre3"/>
        <w:bidi w:val="0"/>
        <w:jc w:val="left"/>
        <w:rPr/>
      </w:pPr>
      <w:r>
        <w:rPr/>
        <w:t>13.2 Droits des utilisateurs</w:t>
      </w:r>
    </w:p>
    <w:p>
      <w:pPr>
        <w:pStyle w:val="Corpsdetexte"/>
        <w:numPr>
          <w:ilvl w:val="0"/>
          <w:numId w:val="33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Accès et rectification</w:t>
      </w:r>
      <w:r>
        <w:rPr/>
        <w:t xml:space="preserve"> : Droits des utilisateurs d'accéder à leurs données et de demander des corrections.</w:t>
      </w:r>
    </w:p>
    <w:p>
      <w:pPr>
        <w:pStyle w:val="Corpsdetexte"/>
        <w:numPr>
          <w:ilvl w:val="0"/>
          <w:numId w:val="33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Effacement</w:t>
      </w:r>
      <w:r>
        <w:rPr/>
        <w:t xml:space="preserve"> : Droit des utilisateurs de demander l'effacement de leurs données.</w:t>
      </w:r>
    </w:p>
    <w:p>
      <w:pPr>
        <w:pStyle w:val="Titre3"/>
        <w:bidi w:val="0"/>
        <w:jc w:val="left"/>
        <w:rPr/>
      </w:pPr>
      <w:r>
        <w:rPr/>
        <w:t>13.3 Mesures de protection des données</w:t>
      </w:r>
    </w:p>
    <w:p>
      <w:pPr>
        <w:pStyle w:val="Corpsdetexte"/>
        <w:numPr>
          <w:ilvl w:val="0"/>
          <w:numId w:val="34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Cryptage</w:t>
      </w:r>
      <w:r>
        <w:rPr/>
        <w:t xml:space="preserve"> : Utilisation du cryptage pour protéger les données sensibles.</w:t>
      </w:r>
    </w:p>
    <w:p>
      <w:pPr>
        <w:pStyle w:val="Corpsdetexte"/>
        <w:numPr>
          <w:ilvl w:val="0"/>
          <w:numId w:val="34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Anonymisation</w:t>
      </w:r>
      <w:r>
        <w:rPr/>
        <w:t xml:space="preserve"> : Anonymisation des données lorsque possible pour réduire les risques.</w:t>
      </w:r>
    </w:p>
    <w:p>
      <w:pPr>
        <w:pStyle w:val="Titre2"/>
        <w:bidi w:val="0"/>
        <w:jc w:val="left"/>
        <w:rPr/>
      </w:pPr>
      <w:r>
        <w:rPr/>
        <w:t>14. Gestion des fournisseurs et des tiers</w:t>
      </w:r>
    </w:p>
    <w:p>
      <w:pPr>
        <w:pStyle w:val="Titre3"/>
        <w:bidi w:val="0"/>
        <w:jc w:val="left"/>
        <w:rPr/>
      </w:pPr>
      <w:r>
        <w:rPr/>
        <w:t>14.1 Sélection et évaluation des fournisseurs</w:t>
      </w:r>
    </w:p>
    <w:p>
      <w:pPr>
        <w:pStyle w:val="Corpsdetexte"/>
        <w:numPr>
          <w:ilvl w:val="0"/>
          <w:numId w:val="35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Critères de sélection</w:t>
      </w:r>
      <w:r>
        <w:rPr/>
        <w:t xml:space="preserve"> : Évaluation des fournisseurs basées sur leur capacité à répondre aux exigences de Sensio Labs.</w:t>
      </w:r>
    </w:p>
    <w:p>
      <w:pPr>
        <w:pStyle w:val="Titre3"/>
        <w:bidi w:val="0"/>
        <w:jc w:val="left"/>
        <w:rPr/>
      </w:pPr>
      <w:r>
        <w:rPr/>
        <w:t>14.2 Contrats et accords de niveau de service (SLA)</w:t>
      </w:r>
    </w:p>
    <w:p>
      <w:pPr>
        <w:pStyle w:val="Corpsdetexte"/>
        <w:numPr>
          <w:ilvl w:val="0"/>
          <w:numId w:val="36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SLA</w:t>
      </w:r>
      <w:r>
        <w:rPr/>
        <w:t xml:space="preserve"> : Définition des niveaux de service attendus et des pénalités en cas de non-respect.</w:t>
      </w:r>
    </w:p>
    <w:p>
      <w:pPr>
        <w:pStyle w:val="Titre3"/>
        <w:bidi w:val="0"/>
        <w:jc w:val="left"/>
        <w:rPr/>
      </w:pPr>
      <w:r>
        <w:rPr/>
        <w:t>14.3 Surveillance des performances des fournisseurs</w:t>
      </w:r>
    </w:p>
    <w:p>
      <w:pPr>
        <w:pStyle w:val="Corpsdetexte"/>
        <w:numPr>
          <w:ilvl w:val="0"/>
          <w:numId w:val="37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Revues régulières</w:t>
      </w:r>
      <w:r>
        <w:rPr/>
        <w:t xml:space="preserve"> : Évaluation continue des performances des fournisseurs pour assurer le respect des SLA.</w:t>
      </w:r>
    </w:p>
    <w:p>
      <w:pPr>
        <w:pStyle w:val="Titre2"/>
        <w:bidi w:val="0"/>
        <w:jc w:val="left"/>
        <w:rPr/>
      </w:pPr>
      <w:r>
        <w:rPr/>
        <w:t>15. Annexes</w:t>
      </w:r>
    </w:p>
    <w:p>
      <w:pPr>
        <w:pStyle w:val="Titre3"/>
        <w:bidi w:val="0"/>
        <w:jc w:val="left"/>
        <w:rPr/>
      </w:pPr>
      <w:r>
        <w:rPr/>
        <w:t>15.1 Modèles de formulaires et de rapports</w:t>
      </w:r>
    </w:p>
    <w:p>
      <w:pPr>
        <w:pStyle w:val="Corpsdetexte"/>
        <w:numPr>
          <w:ilvl w:val="0"/>
          <w:numId w:val="38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Modèles de ticket d'incident</w:t>
      </w:r>
      <w:r>
        <w:rPr/>
        <w:t xml:space="preserve"> : Exemples de formulaires pour la déclaration d'incidents.</w:t>
      </w:r>
    </w:p>
    <w:p>
      <w:pPr>
        <w:pStyle w:val="Corpsdetexte"/>
        <w:numPr>
          <w:ilvl w:val="0"/>
          <w:numId w:val="38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Rapports de performance</w:t>
      </w:r>
      <w:r>
        <w:rPr/>
        <w:t xml:space="preserve"> : Modèles de rapports utilisés pour la communication des performances des services.</w:t>
      </w:r>
    </w:p>
    <w:p>
      <w:pPr>
        <w:pStyle w:val="Titre3"/>
        <w:bidi w:val="0"/>
        <w:jc w:val="left"/>
        <w:rPr/>
      </w:pPr>
      <w:r>
        <w:rPr/>
        <w:t>15.2 Diagrammes de processus</w:t>
      </w:r>
    </w:p>
    <w:p>
      <w:pPr>
        <w:pStyle w:val="Corpsdetexte"/>
        <w:numPr>
          <w:ilvl w:val="0"/>
          <w:numId w:val="39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Flux de travail des incidents</w:t>
      </w:r>
      <w:r>
        <w:rPr/>
        <w:t xml:space="preserve"> : Diagrammes illustrant les processus de gestion des incidents.</w:t>
      </w:r>
    </w:p>
    <w:p>
      <w:pPr>
        <w:pStyle w:val="Titre3"/>
        <w:bidi w:val="0"/>
        <w:jc w:val="left"/>
        <w:rPr/>
      </w:pPr>
      <w:r>
        <w:rPr/>
        <w:t>15.3 Références et ressources supplémentaires</w:t>
      </w:r>
    </w:p>
    <w:p>
      <w:pPr>
        <w:pStyle w:val="Corpsdetexte"/>
        <w:numPr>
          <w:ilvl w:val="0"/>
          <w:numId w:val="40"/>
        </w:numPr>
        <w:tabs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Liens utiles</w:t>
      </w:r>
      <w:r>
        <w:rPr/>
        <w:t xml:space="preserve"> : Références vers des documents et ressources supplémentaires pertinents.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Titre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paragraph" w:styleId="Titre1">
    <w:name w:val="Heading 1"/>
    <w:basedOn w:val="Titre"/>
    <w:next w:val="Corpsdetexte"/>
    <w:qFormat/>
    <w:pPr>
      <w:numPr>
        <w:ilvl w:val="0"/>
        <w:numId w:val="1"/>
      </w:numPr>
      <w:spacing w:before="240" w:after="120"/>
      <w:outlineLvl w:val="0"/>
    </w:pPr>
    <w:rPr>
      <w:rFonts w:ascii="Liberation Serif" w:hAnsi="Liberation Serif" w:eastAsia="Noto Serif CJK SC" w:cs="Lohit Devanagari"/>
      <w:b/>
      <w:bCs/>
      <w:sz w:val="48"/>
      <w:szCs w:val="48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Liberation Serif" w:hAnsi="Liberation Serif" w:eastAsia="Noto Serif CJK SC" w:cs="Lohit Devanagari"/>
      <w:b/>
      <w:bCs/>
      <w:sz w:val="36"/>
      <w:szCs w:val="36"/>
    </w:rPr>
  </w:style>
  <w:style w:type="paragraph" w:styleId="Titre3">
    <w:name w:val="Heading 3"/>
    <w:basedOn w:val="Titre"/>
    <w:next w:val="Corpsdetexte"/>
    <w:qFormat/>
    <w:pPr>
      <w:spacing w:before="140" w:after="120"/>
      <w:outlineLvl w:val="2"/>
    </w:pPr>
    <w:rPr>
      <w:rFonts w:ascii="Liberation Serif" w:hAnsi="Liberation Serif" w:eastAsia="Noto Serif CJK SC" w:cs="Lohit Devanagari"/>
      <w:b/>
      <w:bCs/>
      <w:sz w:val="28"/>
      <w:szCs w:val="28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character" w:styleId="Accentuationforte">
    <w:name w:val="Accentuation forte"/>
    <w:qFormat/>
    <w:rPr>
      <w:b/>
      <w:bCs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LibreOffice/7.3.7.2$Linux_X86_64 LibreOffice_project/30$Build-2</Application>
  <AppVersion>15.0000</AppVersion>
  <Pages>5</Pages>
  <Words>1326</Words>
  <Characters>7644</Characters>
  <CharactersWithSpaces>8779</CharactersWithSpaces>
  <Paragraphs>127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2024-07-16T12:04:03Z</dcterms:created>
  <dc:creator/>
  <dc:description/>
  <dc:language>fr-FR</dc:language>
  <cp:lastModifiedBy/>
  <dcterms:modified xsi:type="dcterms:W3CDTF">2024-07-16T12:09:47Z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