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widowControl w:val="false"/>
        <w:spacing w:before="240" w:after="96"/>
        <w:rPr>
          <w:rFonts w:cs="Times New Roman"/>
          <w:szCs w:val="24"/>
        </w:rPr>
      </w:pPr>
      <w:r>
        <w:rPr>
          <w:rFonts w:cs="Times New Roman"/>
          <w:szCs w:val="24"/>
        </w:rPr>
        <mc:AlternateContent>
          <mc:Choice Requires="wps">
            <w:drawing>
              <wp:anchor behindDoc="0" distT="0" distB="0" distL="89535" distR="89535" simplePos="0" locked="0" layoutInCell="0" allowOverlap="1" relativeHeight="32">
                <wp:simplePos x="0" y="0"/>
                <wp:positionH relativeFrom="margin">
                  <wp:align>center</wp:align>
                </wp:positionH>
                <wp:positionV relativeFrom="paragraph">
                  <wp:posOffset>-87630</wp:posOffset>
                </wp:positionV>
                <wp:extent cx="6884670" cy="5351780"/>
                <wp:effectExtent l="0" t="0" r="0" b="0"/>
                <wp:wrapSquare wrapText="bothSides"/>
                <wp:docPr id="1" name="Frame1"/>
                <a:graphic xmlns:a="http://schemas.openxmlformats.org/drawingml/2006/main">
                  <a:graphicData uri="http://schemas.microsoft.com/office/word/2010/wordprocessingShape">
                    <wps:wsp>
                      <wps:cNvSpPr/>
                      <wps:spPr>
                        <a:xfrm>
                          <a:off x="0" y="0"/>
                          <a:ext cx="6884640" cy="5351760"/>
                        </a:xfrm>
                        <a:prstGeom prst="rect">
                          <a:avLst/>
                        </a:prstGeom>
                        <a:noFill/>
                        <a:ln w="0">
                          <a:noFill/>
                        </a:ln>
                      </wps:spPr>
                      <wps:style>
                        <a:lnRef idx="0"/>
                        <a:fillRef idx="0"/>
                        <a:effectRef idx="0"/>
                        <a:fontRef idx="minor"/>
                      </wps:style>
                      <wps:txbx>
                        <w:txbxContent>
                          <w:tbl>
                            <w:tblPr>
                              <w:tblW w:w="10842" w:type="dxa"/>
                              <w:jc w:val="center"/>
                              <w:tblInd w:w="0" w:type="dxa"/>
                              <w:tblLayout w:type="fixed"/>
                              <w:tblCellMar>
                                <w:top w:w="0" w:type="dxa"/>
                                <w:left w:w="0" w:type="dxa"/>
                                <w:bottom w:w="0" w:type="dxa"/>
                                <w:right w:w="0" w:type="dxa"/>
                              </w:tblCellMar>
                            </w:tblPr>
                            <w:tblGrid>
                              <w:gridCol w:w="690"/>
                              <w:gridCol w:w="10151"/>
                            </w:tblGrid>
                            <w:tr>
                              <w:trPr>
                                <w:trHeight w:val="7501" w:hRule="atLeast"/>
                              </w:trPr>
                              <w:tc>
                                <w:tcPr>
                                  <w:tcW w:w="690" w:type="dxa"/>
                                  <w:tcBorders/>
                                  <w:shd w:fill="0072CE" w:val="clear"/>
                                </w:tcPr>
                                <w:p>
                                  <w:pPr>
                                    <w:pStyle w:val="Normal"/>
                                    <w:widowControl w:val="false"/>
                                    <w:spacing w:before="240" w:after="96"/>
                                    <w:rPr>
                                      <w:rFonts w:cs="Times New Roman"/>
                                      <w:sz w:val="40"/>
                                      <w:szCs w:val="40"/>
                                    </w:rPr>
                                  </w:pPr>
                                  <w:r>
                                    <w:rPr>
                                      <w:rFonts w:cs="Times New Roman"/>
                                      <w:sz w:val="40"/>
                                      <w:szCs w:val="40"/>
                                    </w:rPr>
                                  </w:r>
                                </w:p>
                              </w:tc>
                              <w:tc>
                                <w:tcPr>
                                  <w:tcW w:w="10151" w:type="dxa"/>
                                  <w:tcBorders/>
                                  <w:shd w:fill="FFFFFF" w:val="clear"/>
                                  <w:tcMar>
                                    <w:left w:w="400" w:type="dxa"/>
                                  </w:tcMar>
                                </w:tcPr>
                                <w:p>
                                  <w:pPr>
                                    <w:pStyle w:val="Normal"/>
                                    <w:widowControl w:val="false"/>
                                    <w:spacing w:before="240" w:after="96"/>
                                    <w:rPr>
                                      <w:rFonts w:cs="Times New Roman"/>
                                      <w:b/>
                                      <w:b/>
                                      <w:bCs/>
                                      <w:color w:val="0072CE"/>
                                      <w:sz w:val="96"/>
                                      <w:szCs w:val="96"/>
                                    </w:rPr>
                                  </w:pPr>
                                  <w:r>
                                    <w:rPr>
                                      <w:rFonts w:cs="Times New Roman"/>
                                      <w:b/>
                                      <w:bCs/>
                                      <w:color w:val="0072CE"/>
                                      <w:sz w:val="96"/>
                                      <w:szCs w:val="96"/>
                                    </w:rPr>
                                    <w:t>NET BY US</w:t>
                                  </w:r>
                                </w:p>
                                <w:p>
                                  <w:pPr>
                                    <w:pStyle w:val="Normal"/>
                                    <w:widowControl w:val="false"/>
                                    <w:spacing w:before="240" w:after="96"/>
                                    <w:rPr>
                                      <w:rFonts w:cs="Times New Roman"/>
                                      <w:color w:val="F07817"/>
                                      <w:sz w:val="52"/>
                                      <w:szCs w:val="52"/>
                                    </w:rPr>
                                  </w:pPr>
                                  <w:r>
                                    <w:rPr>
                                      <w:rFonts w:cs="Times New Roman"/>
                                      <w:color w:val="F07817"/>
                                      <w:sz w:val="52"/>
                                      <w:szCs w:val="52"/>
                                    </w:rPr>
                                    <w:t>Département des Services Internes</w:t>
                                  </w:r>
                                </w:p>
                                <w:p>
                                  <w:pPr>
                                    <w:pStyle w:val="Normal"/>
                                    <w:widowControl w:val="false"/>
                                    <w:spacing w:before="240" w:after="96"/>
                                    <w:rPr>
                                      <w:rFonts w:cs="Times New Roman"/>
                                      <w:sz w:val="40"/>
                                      <w:szCs w:val="40"/>
                                    </w:rPr>
                                  </w:pPr>
                                  <w:r>
                                    <w:rPr>
                                      <w:rFonts w:cs="Times New Roman"/>
                                      <w:sz w:val="40"/>
                                      <w:szCs w:val="40"/>
                                    </w:rPr>
                                  </w:r>
                                </w:p>
                                <w:p>
                                  <w:pPr>
                                    <w:pStyle w:val="Normal"/>
                                    <w:widowControl w:val="false"/>
                                    <w:pBdr>
                                      <w:top w:val="single" w:sz="8" w:space="1" w:color="014276"/>
                                    </w:pBdr>
                                    <w:spacing w:before="240" w:after="96"/>
                                    <w:rPr>
                                      <w:rFonts w:cs="Times New Roman"/>
                                      <w:sz w:val="40"/>
                                      <w:szCs w:val="40"/>
                                    </w:rPr>
                                  </w:pPr>
                                  <w:r>
                                    <w:rPr>
                                      <w:rFonts w:cs="Times New Roman"/>
                                      <w:sz w:val="40"/>
                                      <w:szCs w:val="40"/>
                                    </w:rPr>
                                  </w:r>
                                </w:p>
                                <w:p>
                                  <w:pPr>
                                    <w:pStyle w:val="Normal"/>
                                    <w:widowControl w:val="false"/>
                                    <w:spacing w:before="240" w:after="96"/>
                                    <w:rPr/>
                                  </w:pPr>
                                  <w:r>
                                    <w:rPr>
                                      <w:rStyle w:val="StrongEmphasis"/>
                                      <w:rFonts w:eastAsia="Calibri" w:cs="Times New Roman"/>
                                      <w:b/>
                                      <w:bCs/>
                                      <w:color w:val="014276"/>
                                      <w:kern w:val="0"/>
                                      <w:sz w:val="44"/>
                                      <w:szCs w:val="44"/>
                                      <w:lang w:val="fr-FR" w:eastAsia="en-US" w:bidi="ar-SA"/>
                                    </w:rPr>
                                    <w:t>CONVENTION DE NOMENCLATURE DES SAUVEGARDES</w:t>
                                  </w:r>
                                </w:p>
                                <w:p>
                                  <w:pPr>
                                    <w:pStyle w:val="Normal"/>
                                    <w:widowControl w:val="false"/>
                                    <w:spacing w:before="240" w:after="96"/>
                                    <w:rPr>
                                      <w:rStyle w:val="StrongEmphasis"/>
                                      <w:rFonts w:eastAsia="Calibri" w:cs="Times New Roman"/>
                                      <w:b/>
                                      <w:b/>
                                      <w:bCs/>
                                      <w:color w:val="014276"/>
                                      <w:kern w:val="0"/>
                                      <w:sz w:val="44"/>
                                      <w:szCs w:val="44"/>
                                      <w:lang w:val="fr-FR" w:eastAsia="en-US" w:bidi="ar-SA"/>
                                    </w:rPr>
                                  </w:pPr>
                                  <w:r>
                                    <w:rPr>
                                      <w:rFonts w:eastAsia="Calibri" w:cs="Times New Roman"/>
                                      <w:b/>
                                      <w:bCs/>
                                      <w:color w:val="014276"/>
                                      <w:kern w:val="0"/>
                                      <w:sz w:val="44"/>
                                      <w:szCs w:val="44"/>
                                      <w:lang w:val="fr-FR" w:eastAsia="en-US" w:bidi="ar-SA"/>
                                    </w:rPr>
                                  </w:r>
                                </w:p>
                                <w:p>
                                  <w:pPr>
                                    <w:pStyle w:val="Normal"/>
                                    <w:widowControl w:val="false"/>
                                    <w:spacing w:before="240" w:after="96"/>
                                    <w:rPr>
                                      <w:rFonts w:cs="Times New Roman"/>
                                      <w:b/>
                                      <w:b/>
                                      <w:bCs/>
                                      <w:color w:val="014276"/>
                                      <w:sz w:val="44"/>
                                      <w:szCs w:val="44"/>
                                    </w:rPr>
                                  </w:pPr>
                                  <w:r>
                                    <w:rPr>
                                      <w:rFonts w:cs="Times New Roman"/>
                                      <w:b/>
                                      <w:bCs/>
                                      <w:color w:val="014276"/>
                                      <w:sz w:val="44"/>
                                      <w:szCs w:val="44"/>
                                    </w:rPr>
                                  </w:r>
                                </w:p>
                                <w:p>
                                  <w:pPr>
                                    <w:pStyle w:val="Normal"/>
                                    <w:widowControl w:val="false"/>
                                    <w:spacing w:before="240" w:after="96"/>
                                    <w:rPr>
                                      <w:rFonts w:cs="Times New Roman"/>
                                      <w:sz w:val="40"/>
                                      <w:szCs w:val="40"/>
                                    </w:rPr>
                                  </w:pPr>
                                  <w:r>
                                    <w:rPr>
                                      <w:rFonts w:cs="Times New Roman"/>
                                      <w:sz w:val="40"/>
                                      <w:szCs w:val="40"/>
                                    </w:rPr>
                                    <w:t>Usage Responsable des Ressources Informatiques</w:t>
                                  </w:r>
                                </w:p>
                                <w:p>
                                  <w:pPr>
                                    <w:pStyle w:val="Normal"/>
                                    <w:widowControl w:val="false"/>
                                    <w:spacing w:before="240" w:after="96"/>
                                    <w:rPr>
                                      <w:rFonts w:cs="Times New Roman"/>
                                      <w:sz w:val="40"/>
                                      <w:szCs w:val="40"/>
                                    </w:rPr>
                                  </w:pPr>
                                  <w:r>
                                    <w:rPr>
                                      <w:rFonts w:cs="Times New Roman"/>
                                      <w:sz w:val="40"/>
                                      <w:szCs w:val="40"/>
                                    </w:rPr>
                                  </w:r>
                                </w:p>
                                <w:p>
                                  <w:pPr>
                                    <w:pStyle w:val="Normal"/>
                                    <w:widowControl w:val="false"/>
                                    <w:spacing w:before="240" w:after="96"/>
                                    <w:rPr>
                                      <w:rFonts w:cs="Times New Roman"/>
                                      <w:b/>
                                      <w:b/>
                                      <w:bCs/>
                                      <w:color w:val="F07817"/>
                                      <w:szCs w:val="24"/>
                                    </w:rPr>
                                  </w:pPr>
                                  <w:r>
                                    <w:rPr>
                                      <w:rFonts w:cs="Times New Roman"/>
                                      <w:b/>
                                      <w:bCs/>
                                      <w:color w:val="F07817"/>
                                      <w:szCs w:val="24"/>
                                    </w:rPr>
                                    <w:t>Document à usage interne — Confidentiel</w:t>
                                  </w:r>
                                </w:p>
                              </w:tc>
                            </w:tr>
                          </w:tbl>
                          <w:p>
                            <w:pPr>
                              <w:pStyle w:val="FrameContents"/>
                              <w:spacing w:before="240" w:after="240"/>
                              <w:rPr>
                                <w:color w:val="000000"/>
                              </w:rPr>
                            </w:pPr>
                            <w:r>
                              <w:rPr>
                                <w:color w:val="000000"/>
                              </w:rPr>
                            </w:r>
                          </w:p>
                        </w:txbxContent>
                      </wps:txbx>
                      <wps:bodyPr lIns="0" rIns="0" tIns="0" bIns="0" anchor="t">
                        <a:noAutofit/>
                      </wps:bodyPr>
                    </wps:wsp>
                  </a:graphicData>
                </a:graphic>
              </wp:anchor>
            </w:drawing>
          </mc:Choice>
          <mc:Fallback>
            <w:pict>
              <v:rect id="shape_0" ID="Frame1" path="m0,0l-2147483645,0l-2147483645,-2147483646l0,-2147483646xe" stroked="f" o:allowincell="f" style="position:absolute;margin-left:-44.25pt;margin-top:-6.9pt;width:542.05pt;height:421.35pt;mso-wrap-style:none;v-text-anchor:middle;mso-position-horizontal:center;mso-position-horizontal-relative:margin">
                <v:fill o:detectmouseclick="t" on="false"/>
                <v:stroke color="#3465a4" joinstyle="round" endcap="flat"/>
                <v:textbox>
                  <w:txbxContent>
                    <w:tbl>
                      <w:tblPr>
                        <w:tblW w:w="10842" w:type="dxa"/>
                        <w:jc w:val="center"/>
                        <w:tblInd w:w="0" w:type="dxa"/>
                        <w:tblLayout w:type="fixed"/>
                        <w:tblCellMar>
                          <w:top w:w="0" w:type="dxa"/>
                          <w:left w:w="0" w:type="dxa"/>
                          <w:bottom w:w="0" w:type="dxa"/>
                          <w:right w:w="0" w:type="dxa"/>
                        </w:tblCellMar>
                      </w:tblPr>
                      <w:tblGrid>
                        <w:gridCol w:w="690"/>
                        <w:gridCol w:w="10151"/>
                      </w:tblGrid>
                      <w:tr>
                        <w:trPr>
                          <w:trHeight w:val="7501" w:hRule="atLeast"/>
                        </w:trPr>
                        <w:tc>
                          <w:tcPr>
                            <w:tcW w:w="690" w:type="dxa"/>
                            <w:tcBorders/>
                            <w:shd w:fill="0072CE" w:val="clear"/>
                          </w:tcPr>
                          <w:p>
                            <w:pPr>
                              <w:pStyle w:val="Normal"/>
                              <w:widowControl w:val="false"/>
                              <w:spacing w:before="240" w:after="96"/>
                              <w:rPr>
                                <w:rFonts w:cs="Times New Roman"/>
                                <w:sz w:val="40"/>
                                <w:szCs w:val="40"/>
                              </w:rPr>
                            </w:pPr>
                            <w:r>
                              <w:rPr>
                                <w:rFonts w:cs="Times New Roman"/>
                                <w:sz w:val="40"/>
                                <w:szCs w:val="40"/>
                              </w:rPr>
                            </w:r>
                          </w:p>
                        </w:tc>
                        <w:tc>
                          <w:tcPr>
                            <w:tcW w:w="10151" w:type="dxa"/>
                            <w:tcBorders/>
                            <w:shd w:fill="FFFFFF" w:val="clear"/>
                            <w:tcMar>
                              <w:left w:w="400" w:type="dxa"/>
                            </w:tcMar>
                          </w:tcPr>
                          <w:p>
                            <w:pPr>
                              <w:pStyle w:val="Normal"/>
                              <w:widowControl w:val="false"/>
                              <w:spacing w:before="240" w:after="96"/>
                              <w:rPr>
                                <w:rFonts w:cs="Times New Roman"/>
                                <w:b/>
                                <w:b/>
                                <w:bCs/>
                                <w:color w:val="0072CE"/>
                                <w:sz w:val="96"/>
                                <w:szCs w:val="96"/>
                              </w:rPr>
                            </w:pPr>
                            <w:r>
                              <w:rPr>
                                <w:rFonts w:cs="Times New Roman"/>
                                <w:b/>
                                <w:bCs/>
                                <w:color w:val="0072CE"/>
                                <w:sz w:val="96"/>
                                <w:szCs w:val="96"/>
                              </w:rPr>
                              <w:t>NET BY US</w:t>
                            </w:r>
                          </w:p>
                          <w:p>
                            <w:pPr>
                              <w:pStyle w:val="Normal"/>
                              <w:widowControl w:val="false"/>
                              <w:spacing w:before="240" w:after="96"/>
                              <w:rPr>
                                <w:rFonts w:cs="Times New Roman"/>
                                <w:color w:val="F07817"/>
                                <w:sz w:val="52"/>
                                <w:szCs w:val="52"/>
                              </w:rPr>
                            </w:pPr>
                            <w:r>
                              <w:rPr>
                                <w:rFonts w:cs="Times New Roman"/>
                                <w:color w:val="F07817"/>
                                <w:sz w:val="52"/>
                                <w:szCs w:val="52"/>
                              </w:rPr>
                              <w:t>Département des Services Internes</w:t>
                            </w:r>
                          </w:p>
                          <w:p>
                            <w:pPr>
                              <w:pStyle w:val="Normal"/>
                              <w:widowControl w:val="false"/>
                              <w:spacing w:before="240" w:after="96"/>
                              <w:rPr>
                                <w:rFonts w:cs="Times New Roman"/>
                                <w:sz w:val="40"/>
                                <w:szCs w:val="40"/>
                              </w:rPr>
                            </w:pPr>
                            <w:r>
                              <w:rPr>
                                <w:rFonts w:cs="Times New Roman"/>
                                <w:sz w:val="40"/>
                                <w:szCs w:val="40"/>
                              </w:rPr>
                            </w:r>
                          </w:p>
                          <w:p>
                            <w:pPr>
                              <w:pStyle w:val="Normal"/>
                              <w:widowControl w:val="false"/>
                              <w:pBdr>
                                <w:top w:val="single" w:sz="8" w:space="1" w:color="014276"/>
                              </w:pBdr>
                              <w:spacing w:before="240" w:after="96"/>
                              <w:rPr>
                                <w:rFonts w:cs="Times New Roman"/>
                                <w:sz w:val="40"/>
                                <w:szCs w:val="40"/>
                              </w:rPr>
                            </w:pPr>
                            <w:r>
                              <w:rPr>
                                <w:rFonts w:cs="Times New Roman"/>
                                <w:sz w:val="40"/>
                                <w:szCs w:val="40"/>
                              </w:rPr>
                            </w:r>
                          </w:p>
                          <w:p>
                            <w:pPr>
                              <w:pStyle w:val="Normal"/>
                              <w:widowControl w:val="false"/>
                              <w:spacing w:before="240" w:after="96"/>
                              <w:rPr/>
                            </w:pPr>
                            <w:r>
                              <w:rPr>
                                <w:rStyle w:val="StrongEmphasis"/>
                                <w:rFonts w:eastAsia="Calibri" w:cs="Times New Roman"/>
                                <w:b/>
                                <w:bCs/>
                                <w:color w:val="014276"/>
                                <w:kern w:val="0"/>
                                <w:sz w:val="44"/>
                                <w:szCs w:val="44"/>
                                <w:lang w:val="fr-FR" w:eastAsia="en-US" w:bidi="ar-SA"/>
                              </w:rPr>
                              <w:t>CONVENTION DE NOMENCLATURE DES SAUVEGARDES</w:t>
                            </w:r>
                          </w:p>
                          <w:p>
                            <w:pPr>
                              <w:pStyle w:val="Normal"/>
                              <w:widowControl w:val="false"/>
                              <w:spacing w:before="240" w:after="96"/>
                              <w:rPr>
                                <w:rStyle w:val="StrongEmphasis"/>
                                <w:rFonts w:eastAsia="Calibri" w:cs="Times New Roman"/>
                                <w:b/>
                                <w:b/>
                                <w:bCs/>
                                <w:color w:val="014276"/>
                                <w:kern w:val="0"/>
                                <w:sz w:val="44"/>
                                <w:szCs w:val="44"/>
                                <w:lang w:val="fr-FR" w:eastAsia="en-US" w:bidi="ar-SA"/>
                              </w:rPr>
                            </w:pPr>
                            <w:r>
                              <w:rPr>
                                <w:rFonts w:eastAsia="Calibri" w:cs="Times New Roman"/>
                                <w:b/>
                                <w:bCs/>
                                <w:color w:val="014276"/>
                                <w:kern w:val="0"/>
                                <w:sz w:val="44"/>
                                <w:szCs w:val="44"/>
                                <w:lang w:val="fr-FR" w:eastAsia="en-US" w:bidi="ar-SA"/>
                              </w:rPr>
                            </w:r>
                          </w:p>
                          <w:p>
                            <w:pPr>
                              <w:pStyle w:val="Normal"/>
                              <w:widowControl w:val="false"/>
                              <w:spacing w:before="240" w:after="96"/>
                              <w:rPr>
                                <w:rFonts w:cs="Times New Roman"/>
                                <w:b/>
                                <w:b/>
                                <w:bCs/>
                                <w:color w:val="014276"/>
                                <w:sz w:val="44"/>
                                <w:szCs w:val="44"/>
                              </w:rPr>
                            </w:pPr>
                            <w:r>
                              <w:rPr>
                                <w:rFonts w:cs="Times New Roman"/>
                                <w:b/>
                                <w:bCs/>
                                <w:color w:val="014276"/>
                                <w:sz w:val="44"/>
                                <w:szCs w:val="44"/>
                              </w:rPr>
                            </w:r>
                          </w:p>
                          <w:p>
                            <w:pPr>
                              <w:pStyle w:val="Normal"/>
                              <w:widowControl w:val="false"/>
                              <w:spacing w:before="240" w:after="96"/>
                              <w:rPr>
                                <w:rFonts w:cs="Times New Roman"/>
                                <w:sz w:val="40"/>
                                <w:szCs w:val="40"/>
                              </w:rPr>
                            </w:pPr>
                            <w:r>
                              <w:rPr>
                                <w:rFonts w:cs="Times New Roman"/>
                                <w:sz w:val="40"/>
                                <w:szCs w:val="40"/>
                              </w:rPr>
                              <w:t>Usage Responsable des Ressources Informatiques</w:t>
                            </w:r>
                          </w:p>
                          <w:p>
                            <w:pPr>
                              <w:pStyle w:val="Normal"/>
                              <w:widowControl w:val="false"/>
                              <w:spacing w:before="240" w:after="96"/>
                              <w:rPr>
                                <w:rFonts w:cs="Times New Roman"/>
                                <w:sz w:val="40"/>
                                <w:szCs w:val="40"/>
                              </w:rPr>
                            </w:pPr>
                            <w:r>
                              <w:rPr>
                                <w:rFonts w:cs="Times New Roman"/>
                                <w:sz w:val="40"/>
                                <w:szCs w:val="40"/>
                              </w:rPr>
                            </w:r>
                          </w:p>
                          <w:p>
                            <w:pPr>
                              <w:pStyle w:val="Normal"/>
                              <w:widowControl w:val="false"/>
                              <w:spacing w:before="240" w:after="96"/>
                              <w:rPr>
                                <w:rFonts w:cs="Times New Roman"/>
                                <w:b/>
                                <w:b/>
                                <w:bCs/>
                                <w:color w:val="F07817"/>
                                <w:szCs w:val="24"/>
                              </w:rPr>
                            </w:pPr>
                            <w:r>
                              <w:rPr>
                                <w:rFonts w:cs="Times New Roman"/>
                                <w:b/>
                                <w:bCs/>
                                <w:color w:val="F07817"/>
                                <w:szCs w:val="24"/>
                              </w:rPr>
                              <w:t>Document à usage interne — Confidentiel</w:t>
                            </w:r>
                          </w:p>
                        </w:tc>
                      </w:tr>
                    </w:tbl>
                    <w:p>
                      <w:pPr>
                        <w:pStyle w:val="FrameContents"/>
                        <w:spacing w:before="240" w:after="240"/>
                        <w:rPr>
                          <w:color w:val="000000"/>
                        </w:rPr>
                      </w:pPr>
                      <w:r>
                        <w:rPr>
                          <w:color w:val="000000"/>
                        </w:rPr>
                      </w:r>
                    </w:p>
                  </w:txbxContent>
                </v:textbox>
                <w10:wrap type="square"/>
              </v:rect>
            </w:pict>
          </mc:Fallback>
        </mc:AlternateContent>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Normal"/>
        <w:spacing w:before="240" w:after="96"/>
        <w:rPr>
          <w:rFonts w:cs="Times New Roman"/>
          <w:szCs w:val="24"/>
        </w:rPr>
      </w:pPr>
      <w:r>
        <w:rPr>
          <w:rFonts w:cs="Times New Roman"/>
          <w:szCs w:val="24"/>
        </w:rPr>
      </w:r>
    </w:p>
    <w:p>
      <w:pPr>
        <w:pStyle w:val="Heading1"/>
        <w:spacing w:before="240" w:after="96"/>
        <w:ind w:left="0" w:hanging="0"/>
        <w:rPr/>
      </w:pPr>
      <w:bookmarkStart w:id="0" w:name="__RefHeading___Toc9058_2626373462"/>
      <w:bookmarkStart w:id="1" w:name="_Toc224992377"/>
      <w:bookmarkStart w:id="2" w:name="_Toc226029974"/>
      <w:bookmarkStart w:id="3" w:name="_Toc226109670"/>
      <w:bookmarkStart w:id="4" w:name="_Toc226029670"/>
      <w:bookmarkStart w:id="5" w:name="_Toc226200435"/>
      <w:bookmarkEnd w:id="0"/>
      <w:r>
        <w:rPr>
          <w:rFonts w:cs="Times New Roman"/>
          <w:caps w:val="false"/>
          <w:smallCaps w:val="false"/>
          <w:sz w:val="32"/>
          <w:szCs w:val="32"/>
          <w:u w:val="single"/>
        </w:rPr>
        <w:t>TABLE DES MATIE</w:t>
      </w:r>
      <w:bookmarkEnd w:id="1"/>
      <w:bookmarkEnd w:id="2"/>
      <w:bookmarkEnd w:id="3"/>
      <w:bookmarkEnd w:id="4"/>
      <w:bookmarkEnd w:id="5"/>
      <w:r>
        <w:rPr>
          <w:rFonts w:cs="Times New Roman"/>
          <w:caps w:val="false"/>
          <w:smallCaps w:val="false"/>
          <w:sz w:val="32"/>
          <w:szCs w:val="32"/>
          <w:u w:val="single"/>
        </w:rPr>
        <w:t>RES</w:t>
      </w:r>
    </w:p>
    <w:sdt>
      <w:sdtPr>
        <w:docPartObj>
          <w:docPartGallery w:val="Table of Contents"/>
          <w:docPartUnique w:val="true"/>
        </w:docPartObj>
      </w:sdtPr>
      <w:sdtContent>
        <w:p>
          <w:pPr>
            <w:pStyle w:val="Contents1"/>
            <w:tabs>
              <w:tab w:val="clear" w:pos="9376"/>
              <w:tab w:val="right" w:pos="9072" w:leader="dot"/>
            </w:tabs>
            <w:rPr/>
          </w:pPr>
          <w:r>
            <w:fldChar w:fldCharType="begin"/>
          </w:r>
          <w:r>
            <w:rPr>
              <w:rStyle w:val="IndexLink"/>
            </w:rPr>
            <w:instrText xml:space="preserve"> TOC \f \o "1-9" \h</w:instrText>
          </w:r>
          <w:r>
            <w:rPr>
              <w:rStyle w:val="IndexLink"/>
            </w:rPr>
            <w:fldChar w:fldCharType="separate"/>
          </w:r>
          <w:hyperlink w:anchor="__RefHeading___Toc9058_2626373462">
            <w:r>
              <w:rPr>
                <w:rStyle w:val="IndexLink"/>
              </w:rPr>
              <w:t>TABLE DES MATIERES</w:t>
              <w:tab/>
              <w:t>2</w:t>
            </w:r>
          </w:hyperlink>
        </w:p>
        <w:p>
          <w:pPr>
            <w:pStyle w:val="Contents1"/>
            <w:tabs>
              <w:tab w:val="clear" w:pos="9376"/>
              <w:tab w:val="right" w:pos="9072" w:leader="dot"/>
            </w:tabs>
            <w:rPr/>
          </w:pPr>
          <w:hyperlink w:anchor="__RefHeading___Toc5413_2150708505">
            <w:r>
              <w:rPr>
                <w:rStyle w:val="IndexLink"/>
              </w:rPr>
              <w:t>OBJECTIF</w:t>
              <w:tab/>
              <w:t>3</w:t>
            </w:r>
          </w:hyperlink>
        </w:p>
        <w:p>
          <w:pPr>
            <w:pStyle w:val="Contents1"/>
            <w:tabs>
              <w:tab w:val="clear" w:pos="9376"/>
              <w:tab w:val="right" w:pos="9072" w:leader="dot"/>
            </w:tabs>
            <w:rPr/>
          </w:pPr>
          <w:hyperlink w:anchor="__RefHeading___Toc5415_2150708505">
            <w:r>
              <w:rPr>
                <w:rStyle w:val="IndexLink"/>
              </w:rPr>
              <w:t>STRUCTURE GÉNÉRALE</w:t>
              <w:tab/>
              <w:t>4</w:t>
            </w:r>
          </w:hyperlink>
        </w:p>
        <w:p>
          <w:pPr>
            <w:pStyle w:val="Contents2"/>
            <w:tabs>
              <w:tab w:val="clear" w:pos="9062"/>
              <w:tab w:val="right" w:pos="9072" w:leader="dot"/>
            </w:tabs>
            <w:rPr/>
          </w:pPr>
          <w:hyperlink w:anchor="__RefHeading___Toc5417_2150708505">
            <w:r>
              <w:rPr>
                <w:rStyle w:val="IndexLink"/>
              </w:rPr>
              <w:t>Format de base pour les fichiers de sauvegarde</w:t>
              <w:tab/>
              <w:t>4</w:t>
            </w:r>
          </w:hyperlink>
        </w:p>
        <w:p>
          <w:pPr>
            <w:pStyle w:val="Contents2"/>
            <w:tabs>
              <w:tab w:val="clear" w:pos="9062"/>
              <w:tab w:val="right" w:pos="9072" w:leader="dot"/>
            </w:tabs>
            <w:rPr/>
          </w:pPr>
          <w:hyperlink w:anchor="__RefHeading___Toc5419_2150708505">
            <w:r>
              <w:rPr>
                <w:rStyle w:val="IndexLink"/>
              </w:rPr>
              <w:t>Description détaillée des éléments obligatoires</w:t>
              <w:tab/>
              <w:t>4</w:t>
            </w:r>
          </w:hyperlink>
        </w:p>
        <w:p>
          <w:pPr>
            <w:pStyle w:val="Contents1"/>
            <w:tabs>
              <w:tab w:val="clear" w:pos="9376"/>
              <w:tab w:val="right" w:pos="9072" w:leader="dot"/>
            </w:tabs>
            <w:rPr/>
          </w:pPr>
          <w:hyperlink w:anchor="__RefHeading___Toc5421_2150708505">
            <w:r>
              <w:rPr>
                <w:rStyle w:val="IndexLink"/>
              </w:rPr>
              <w:t>NOMENCLATURE DES FICHIERS DE SAUVEGARDE</w:t>
              <w:tab/>
              <w:t>5</w:t>
            </w:r>
          </w:hyperlink>
        </w:p>
        <w:p>
          <w:pPr>
            <w:pStyle w:val="Contents2"/>
            <w:tabs>
              <w:tab w:val="clear" w:pos="9062"/>
              <w:tab w:val="right" w:pos="9072" w:leader="dot"/>
            </w:tabs>
            <w:rPr/>
          </w:pPr>
          <w:hyperlink w:anchor="__RefHeading___Toc5423_2150708505">
            <w:r>
              <w:rPr>
                <w:rStyle w:val="IndexLink"/>
              </w:rPr>
              <w:t>Sauvegardes d'applications</w:t>
              <w:tab/>
              <w:t>5</w:t>
            </w:r>
          </w:hyperlink>
        </w:p>
        <w:p>
          <w:pPr>
            <w:pStyle w:val="Contents2"/>
            <w:tabs>
              <w:tab w:val="clear" w:pos="9062"/>
              <w:tab w:val="right" w:pos="9072" w:leader="dot"/>
            </w:tabs>
            <w:rPr/>
          </w:pPr>
          <w:hyperlink w:anchor="__RefHeading___Toc5425_2150708505">
            <w:r>
              <w:rPr>
                <w:rStyle w:val="IndexLink"/>
              </w:rPr>
              <w:t>Sauvegardes de bases de données</w:t>
              <w:tab/>
              <w:t>6</w:t>
            </w:r>
          </w:hyperlink>
        </w:p>
        <w:p>
          <w:pPr>
            <w:pStyle w:val="Contents2"/>
            <w:tabs>
              <w:tab w:val="clear" w:pos="9062"/>
              <w:tab w:val="right" w:pos="9072" w:leader="dot"/>
            </w:tabs>
            <w:rPr/>
          </w:pPr>
          <w:hyperlink w:anchor="__RefHeading___Toc5427_2150708505">
            <w:r>
              <w:rPr>
                <w:rStyle w:val="IndexLink"/>
              </w:rPr>
              <w:t xml:space="preserve"> </w:t>
            </w:r>
            <w:r>
              <w:rPr>
                <w:rStyle w:val="IndexLink"/>
              </w:rPr>
              <w:t>Sauvegardes complètes (Full Backup)</w:t>
              <w:tab/>
              <w:t>7</w:t>
            </w:r>
          </w:hyperlink>
        </w:p>
        <w:p>
          <w:pPr>
            <w:pStyle w:val="Contents2"/>
            <w:tabs>
              <w:tab w:val="clear" w:pos="9062"/>
              <w:tab w:val="right" w:pos="9072" w:leader="dot"/>
            </w:tabs>
            <w:rPr/>
          </w:pPr>
          <w:hyperlink w:anchor="__RefHeading___Toc5429_2150708505">
            <w:r>
              <w:rPr>
                <w:rStyle w:val="IndexLink"/>
              </w:rPr>
              <w:t>Sauvegardes incrémentielles</w:t>
              <w:tab/>
              <w:t>8</w:t>
            </w:r>
          </w:hyperlink>
        </w:p>
        <w:p>
          <w:pPr>
            <w:pStyle w:val="Contents1"/>
            <w:tabs>
              <w:tab w:val="clear" w:pos="9376"/>
              <w:tab w:val="right" w:pos="9072" w:leader="dot"/>
            </w:tabs>
            <w:rPr/>
          </w:pPr>
          <w:hyperlink w:anchor="__RefHeading___Toc5431_2150708505">
            <w:r>
              <w:rPr>
                <w:rStyle w:val="IndexLink"/>
              </w:rPr>
              <w:t>NOMENCLATURE DES SCRIPTS</w:t>
              <w:tab/>
              <w:t>8</w:t>
            </w:r>
          </w:hyperlink>
        </w:p>
        <w:p>
          <w:pPr>
            <w:pStyle w:val="Contents2"/>
            <w:tabs>
              <w:tab w:val="clear" w:pos="9062"/>
              <w:tab w:val="right" w:pos="9072" w:leader="dot"/>
            </w:tabs>
            <w:rPr/>
          </w:pPr>
          <w:hyperlink w:anchor="__RefHeading___Toc5433_2150708505">
            <w:r>
              <w:rPr>
                <w:rStyle w:val="IndexLink"/>
              </w:rPr>
              <w:t>Scripts de sauvegarde automatisée</w:t>
              <w:tab/>
              <w:t>8</w:t>
            </w:r>
          </w:hyperlink>
        </w:p>
        <w:p>
          <w:pPr>
            <w:pStyle w:val="Contents2"/>
            <w:tabs>
              <w:tab w:val="clear" w:pos="9062"/>
              <w:tab w:val="right" w:pos="9072" w:leader="dot"/>
            </w:tabs>
            <w:rPr/>
          </w:pPr>
          <w:hyperlink w:anchor="__RefHeading___Toc5435_2150708505">
            <w:r>
              <w:rPr>
                <w:rStyle w:val="IndexLink"/>
              </w:rPr>
              <w:t>Structure d'en-tête obligatoire pour chaque script de sauvegarde :</w:t>
              <w:tab/>
              <w:t>9</w:t>
            </w:r>
          </w:hyperlink>
        </w:p>
        <w:p>
          <w:pPr>
            <w:pStyle w:val="Contents2"/>
            <w:tabs>
              <w:tab w:val="clear" w:pos="9062"/>
              <w:tab w:val="right" w:pos="9072" w:leader="dot"/>
            </w:tabs>
            <w:rPr/>
          </w:pPr>
          <w:hyperlink w:anchor="__RefHeading___Toc5437_2150708505">
            <w:r>
              <w:rPr>
                <w:rStyle w:val="IndexLink"/>
              </w:rPr>
              <w:t>Scripts de nettoyage automatique</w:t>
              <w:tab/>
              <w:t>10</w:t>
            </w:r>
          </w:hyperlink>
        </w:p>
        <w:p>
          <w:pPr>
            <w:pStyle w:val="Contents1"/>
            <w:tabs>
              <w:tab w:val="clear" w:pos="9376"/>
              <w:tab w:val="right" w:pos="9072" w:leader="dot"/>
            </w:tabs>
            <w:rPr/>
          </w:pPr>
          <w:hyperlink w:anchor="__RefHeading___Toc5439_2150708505">
            <w:r>
              <w:rPr>
                <w:rStyle w:val="IndexLink"/>
              </w:rPr>
              <w:t>STRUCTURE DES RÉPERTOIRES</w:t>
              <w:tab/>
              <w:t>12</w:t>
            </w:r>
          </w:hyperlink>
        </w:p>
        <w:p>
          <w:pPr>
            <w:pStyle w:val="Contents2"/>
            <w:tabs>
              <w:tab w:val="clear" w:pos="9062"/>
              <w:tab w:val="right" w:pos="9072" w:leader="dot"/>
            </w:tabs>
            <w:rPr/>
          </w:pPr>
          <w:hyperlink w:anchor="__RefHeading___Toc5441_2150708505">
            <w:r>
              <w:rPr>
                <w:rStyle w:val="IndexLink"/>
              </w:rPr>
              <w:t>Arborescence standard recommandée</w:t>
              <w:tab/>
              <w:t>12</w:t>
            </w:r>
          </w:hyperlink>
        </w:p>
        <w:p>
          <w:pPr>
            <w:pStyle w:val="Contents2"/>
            <w:tabs>
              <w:tab w:val="clear" w:pos="9062"/>
              <w:tab w:val="right" w:pos="9072" w:leader="dot"/>
            </w:tabs>
            <w:rPr/>
          </w:pPr>
          <w:hyperlink w:anchor="__RefHeading___Toc5443_2150708505">
            <w:r>
              <w:rPr>
                <w:rStyle w:val="IndexLink"/>
              </w:rPr>
              <w:t>Permissions de sécurité recommandées</w:t>
              <w:tab/>
              <w:t>13</w:t>
            </w:r>
          </w:hyperlink>
        </w:p>
        <w:p>
          <w:pPr>
            <w:pStyle w:val="Contents2"/>
            <w:tabs>
              <w:tab w:val="clear" w:pos="9062"/>
              <w:tab w:val="right" w:pos="9072" w:leader="dot"/>
            </w:tabs>
            <w:rPr/>
          </w:pPr>
          <w:hyperlink w:anchor="__RefHeading___Toc5445_2150708505">
            <w:r>
              <w:rPr>
                <w:rStyle w:val="IndexLink"/>
              </w:rPr>
              <w:t>BONNES PRATIQUES</w:t>
              <w:tab/>
              <w:t>14</w:t>
            </w:r>
          </w:hyperlink>
        </w:p>
        <w:p>
          <w:pPr>
            <w:pStyle w:val="Contents2"/>
            <w:tabs>
              <w:tab w:val="clear" w:pos="9062"/>
              <w:tab w:val="right" w:pos="9072" w:leader="dot"/>
            </w:tabs>
            <w:rPr/>
          </w:pPr>
          <w:hyperlink w:anchor="__RefHeading___Toc5447_2150708505">
            <w:r>
              <w:rPr>
                <w:rStyle w:val="IndexLink"/>
              </w:rPr>
              <w:t>Checklist pour la création d'un script de sauvegarde</w:t>
              <w:tab/>
              <w:t>14</w:t>
            </w:r>
          </w:hyperlink>
        </w:p>
        <w:p>
          <w:pPr>
            <w:pStyle w:val="Contents2"/>
            <w:tabs>
              <w:tab w:val="clear" w:pos="9062"/>
              <w:tab w:val="right" w:pos="9072" w:leader="dot"/>
            </w:tabs>
            <w:rPr/>
          </w:pPr>
          <w:hyperlink w:anchor="__RefHeading___Toc5449_2150708505">
            <w:r>
              <w:rPr>
                <w:rStyle w:val="IndexLink"/>
              </w:rPr>
              <w:t>Checklist pour la création d'un script de nettoyage</w:t>
              <w:tab/>
              <w:t>15</w:t>
            </w:r>
          </w:hyperlink>
        </w:p>
        <w:p>
          <w:pPr>
            <w:pStyle w:val="Contents2"/>
            <w:tabs>
              <w:tab w:val="clear" w:pos="9062"/>
              <w:tab w:val="right" w:pos="9072" w:leader="dot"/>
            </w:tabs>
            <w:rPr/>
          </w:pPr>
          <w:hyperlink w:anchor="__RefHeading___Toc5451_2150708505">
            <w:r>
              <w:rPr>
                <w:rStyle w:val="IndexLink"/>
              </w:rPr>
              <w:t>Vérifications régulières recommandées</w:t>
              <w:tab/>
              <w:t>15</w:t>
            </w:r>
          </w:hyperlink>
          <w:r>
            <w:rPr>
              <w:rStyle w:val="IndexLink"/>
            </w:rPr>
            <w:fldChar w:fldCharType="end"/>
          </w:r>
        </w:p>
      </w:sdtContent>
    </w:sdt>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Normal"/>
        <w:spacing w:before="240" w:after="96"/>
        <w:ind w:left="0" w:hanging="0"/>
        <w:rPr>
          <w:rFonts w:cs="Times New Roman"/>
          <w:caps w:val="false"/>
          <w:smallCaps w:val="false"/>
          <w:sz w:val="32"/>
          <w:szCs w:val="32"/>
          <w:u w:val="single"/>
        </w:rPr>
      </w:pPr>
      <w:r>
        <w:rPr>
          <w:rFonts w:cs="Times New Roman"/>
          <w:caps w:val="false"/>
          <w:smallCaps w:val="false"/>
          <w:sz w:val="32"/>
          <w:szCs w:val="32"/>
          <w:u w:val="single"/>
        </w:rPr>
      </w:r>
    </w:p>
    <w:p>
      <w:pPr>
        <w:pStyle w:val="Heading1"/>
        <w:ind w:left="0" w:hanging="0"/>
        <w:rPr/>
      </w:pPr>
      <w:bookmarkStart w:id="6" w:name="__RefHeading___Toc5413_2150708505"/>
      <w:bookmarkEnd w:id="6"/>
      <w:r>
        <w:rPr/>
        <w:t>OBJECTIF</w:t>
      </w:r>
    </w:p>
    <w:p>
      <w:pPr>
        <w:pStyle w:val="TextBody"/>
        <w:rPr/>
      </w:pPr>
      <w:r>
        <w:rPr/>
        <w:t xml:space="preserve">Cette convention établit les </w:t>
      </w:r>
      <w:r>
        <w:rPr>
          <w:rStyle w:val="StrongEmphasis"/>
        </w:rPr>
        <w:t>règles de nommage obligatoires</w:t>
      </w:r>
      <w:r>
        <w:rPr/>
        <w:t xml:space="preserve"> applicables à l'ensemble des éléments suivants :</w:t>
      </w:r>
    </w:p>
    <w:p>
      <w:pPr>
        <w:pStyle w:val="TextBody"/>
        <w:numPr>
          <w:ilvl w:val="0"/>
          <w:numId w:val="1"/>
        </w:numPr>
        <w:tabs>
          <w:tab w:val="clear" w:pos="708"/>
          <w:tab w:val="left" w:pos="0" w:leader="none"/>
        </w:tabs>
        <w:ind w:left="709" w:hanging="283"/>
        <w:rPr/>
      </w:pPr>
      <w:r>
        <w:rPr/>
        <w:t>Fichiers de sauvegarde (applications et bases de données)</w:t>
      </w:r>
    </w:p>
    <w:p>
      <w:pPr>
        <w:pStyle w:val="TextBody"/>
        <w:numPr>
          <w:ilvl w:val="0"/>
          <w:numId w:val="1"/>
        </w:numPr>
        <w:tabs>
          <w:tab w:val="clear" w:pos="708"/>
          <w:tab w:val="left" w:pos="0" w:leader="none"/>
        </w:tabs>
        <w:ind w:left="709" w:hanging="283"/>
        <w:rPr/>
      </w:pPr>
      <w:r>
        <w:rPr/>
        <w:t>Scripts automatisés de sauvegarde</w:t>
      </w:r>
    </w:p>
    <w:p>
      <w:pPr>
        <w:pStyle w:val="TextBody"/>
        <w:numPr>
          <w:ilvl w:val="0"/>
          <w:numId w:val="1"/>
        </w:numPr>
        <w:tabs>
          <w:tab w:val="clear" w:pos="708"/>
          <w:tab w:val="left" w:pos="0" w:leader="none"/>
        </w:tabs>
        <w:ind w:left="709" w:hanging="283"/>
        <w:rPr/>
      </w:pPr>
      <w:r>
        <w:rPr/>
        <w:t>Scripts de nettoyage automatique (suppression des sauvegardes obsolètes)</w:t>
      </w:r>
    </w:p>
    <w:p>
      <w:pPr>
        <w:pStyle w:val="TextBody"/>
        <w:numPr>
          <w:ilvl w:val="0"/>
          <w:numId w:val="1"/>
        </w:numPr>
        <w:tabs>
          <w:tab w:val="clear" w:pos="708"/>
          <w:tab w:val="left" w:pos="0" w:leader="none"/>
        </w:tabs>
        <w:ind w:left="709" w:hanging="283"/>
        <w:rPr/>
      </w:pPr>
      <w:r>
        <w:rPr/>
        <w:t>Répertoires de stockage des sauvegardes</w:t>
      </w:r>
    </w:p>
    <w:p>
      <w:pPr>
        <w:pStyle w:val="TextBody"/>
        <w:rPr/>
      </w:pPr>
      <w:r>
        <w:rPr>
          <w:rStyle w:val="StrongEmphasis"/>
        </w:rPr>
        <w:t>Les avantages de cette standardisation :</w:t>
      </w:r>
    </w:p>
    <w:p>
      <w:pPr>
        <w:pStyle w:val="TextBody"/>
        <w:numPr>
          <w:ilvl w:val="0"/>
          <w:numId w:val="2"/>
        </w:numPr>
        <w:tabs>
          <w:tab w:val="clear" w:pos="708"/>
          <w:tab w:val="left" w:pos="0" w:leader="none"/>
        </w:tabs>
        <w:ind w:left="709" w:hanging="283"/>
        <w:rPr/>
      </w:pPr>
      <w:r>
        <w:rPr/>
        <w:t>Identification immédiate du contenu et de la provenance de chaque sauvegarde</w:t>
      </w:r>
    </w:p>
    <w:p>
      <w:pPr>
        <w:pStyle w:val="TextBody"/>
        <w:numPr>
          <w:ilvl w:val="0"/>
          <w:numId w:val="2"/>
        </w:numPr>
        <w:tabs>
          <w:tab w:val="clear" w:pos="708"/>
          <w:tab w:val="left" w:pos="0" w:leader="none"/>
        </w:tabs>
        <w:ind w:left="709" w:hanging="283"/>
        <w:rPr/>
      </w:pPr>
      <w:r>
        <w:rPr/>
        <w:t>Facilitation des processus d'automatisation et de scripting</w:t>
      </w:r>
    </w:p>
    <w:p>
      <w:pPr>
        <w:pStyle w:val="TextBody"/>
        <w:numPr>
          <w:ilvl w:val="0"/>
          <w:numId w:val="2"/>
        </w:numPr>
        <w:tabs>
          <w:tab w:val="clear" w:pos="708"/>
          <w:tab w:val="left" w:pos="0" w:leader="none"/>
        </w:tabs>
        <w:ind w:left="709" w:hanging="283"/>
        <w:rPr/>
      </w:pPr>
      <w:r>
        <w:rPr/>
        <w:t>Traçabilité complète des opérations de sauvegarde</w:t>
      </w:r>
    </w:p>
    <w:p>
      <w:pPr>
        <w:pStyle w:val="TextBody"/>
        <w:numPr>
          <w:ilvl w:val="0"/>
          <w:numId w:val="2"/>
        </w:numPr>
        <w:tabs>
          <w:tab w:val="clear" w:pos="708"/>
          <w:tab w:val="left" w:pos="0" w:leader="none"/>
        </w:tabs>
        <w:ind w:left="709" w:hanging="283"/>
        <w:rPr/>
      </w:pPr>
      <w:r>
        <w:rPr/>
        <w:t>Simplification de la gestion des politiques de rétention</w:t>
      </w:r>
    </w:p>
    <w:p>
      <w:pPr>
        <w:pStyle w:val="Heading1"/>
        <w:ind w:left="0" w:hanging="0"/>
        <w:rPr/>
      </w:pPr>
      <w:bookmarkStart w:id="7" w:name="__RefHeading___Toc5415_2150708505"/>
      <w:bookmarkEnd w:id="7"/>
      <w:r>
        <w:rPr/>
        <w:t>STRUCTURE GÉNÉRALE</w:t>
      </w:r>
    </w:p>
    <w:p>
      <w:pPr>
        <w:pStyle w:val="Heading2"/>
        <w:ind w:left="0" w:hanging="0"/>
        <w:rPr/>
      </w:pPr>
      <w:bookmarkStart w:id="8" w:name="__RefHeading___Toc5417_2150708505"/>
      <w:bookmarkEnd w:id="8"/>
      <w:r>
        <w:rPr/>
        <w:t>Format de base pour les fichiers de sauvegarde</w:t>
      </w:r>
    </w:p>
    <w:p>
      <w:pPr>
        <w:pStyle w:val="TextBody"/>
        <w:rPr/>
      </w:pPr>
      <w:r>
        <w:rPr/>
        <w:t>Tous les fichiers de sauvegarde doivent respecter le format suivant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283"/>
              <w:rPr/>
            </w:pPr>
            <w:r>
              <w:rPr>
                <w:rStyle w:val="SourceText"/>
              </w:rPr>
              <w:t>[type]_[serveur]_[application]_[YYYYMMDD]_[HHMM].[extension]</w:t>
            </w:r>
          </w:p>
        </w:tc>
      </w:tr>
    </w:tbl>
    <w:p>
      <w:pPr>
        <w:pStyle w:val="Heading2"/>
        <w:ind w:left="0" w:hanging="0"/>
        <w:rPr/>
      </w:pPr>
      <w:bookmarkStart w:id="9" w:name="__RefHeading___Toc5419_2150708505"/>
      <w:bookmarkEnd w:id="9"/>
      <w:r>
        <w:rPr/>
        <w:t>Description détaillée des éléments obligatoires</w:t>
      </w:r>
    </w:p>
    <w:tbl>
      <w:tblPr>
        <w:tblW w:w="9072" w:type="dxa"/>
        <w:jc w:val="left"/>
        <w:tblInd w:w="0" w:type="dxa"/>
        <w:tblLayout w:type="fixed"/>
        <w:tblCellMar>
          <w:top w:w="29" w:type="dxa"/>
          <w:left w:w="29" w:type="dxa"/>
          <w:bottom w:w="29" w:type="dxa"/>
          <w:right w:w="29" w:type="dxa"/>
        </w:tblCellMar>
      </w:tblPr>
      <w:tblGrid>
        <w:gridCol w:w="1625"/>
        <w:gridCol w:w="2771"/>
        <w:gridCol w:w="2493"/>
        <w:gridCol w:w="2182"/>
      </w:tblGrid>
      <w:tr>
        <w:trPr/>
        <w:tc>
          <w:tcPr>
            <w:tcW w:w="1625" w:type="dxa"/>
            <w:tcBorders>
              <w:top w:val="single" w:sz="2" w:space="0" w:color="000000"/>
              <w:left w:val="single" w:sz="2" w:space="0" w:color="000000"/>
              <w:bottom w:val="single" w:sz="2" w:space="0" w:color="000000"/>
            </w:tcBorders>
            <w:vAlign w:val="center"/>
          </w:tcPr>
          <w:p>
            <w:pPr>
              <w:pStyle w:val="TableHeading"/>
              <w:widowControl w:val="false"/>
              <w:spacing w:before="240" w:after="240"/>
              <w:rPr>
                <w:rFonts w:ascii="Times New Roman" w:hAnsi="Times New Roman" w:eastAsia="Calibri" w:cs="DejaVu Sans"/>
                <w:b/>
                <w:b/>
                <w:bCs/>
                <w:color w:val="014276"/>
                <w:kern w:val="0"/>
                <w:sz w:val="24"/>
                <w:szCs w:val="32"/>
                <w:lang w:val="fr-FR" w:eastAsia="en-US" w:bidi="ar-SA"/>
              </w:rPr>
            </w:pPr>
            <w:r>
              <w:rPr>
                <w:rFonts w:eastAsia="Calibri" w:cs="DejaVu Sans"/>
                <w:b/>
                <w:bCs/>
                <w:color w:val="014276"/>
                <w:kern w:val="0"/>
                <w:sz w:val="24"/>
                <w:szCs w:val="32"/>
                <w:lang w:val="fr-FR" w:eastAsia="en-US" w:bidi="ar-SA"/>
              </w:rPr>
              <w:t>Élément</w:t>
            </w:r>
          </w:p>
        </w:tc>
        <w:tc>
          <w:tcPr>
            <w:tcW w:w="2771" w:type="dxa"/>
            <w:tcBorders>
              <w:top w:val="single" w:sz="2" w:space="0" w:color="000000"/>
              <w:left w:val="single" w:sz="2" w:space="0" w:color="000000"/>
              <w:bottom w:val="single" w:sz="2" w:space="0" w:color="000000"/>
            </w:tcBorders>
            <w:vAlign w:val="center"/>
          </w:tcPr>
          <w:p>
            <w:pPr>
              <w:pStyle w:val="TableHeading"/>
              <w:widowControl w:val="false"/>
              <w:spacing w:before="240" w:after="240"/>
              <w:rPr>
                <w:rFonts w:ascii="Times New Roman" w:hAnsi="Times New Roman" w:eastAsia="Calibri" w:cs="DejaVu Sans"/>
                <w:b/>
                <w:b/>
                <w:bCs/>
                <w:color w:val="014276"/>
                <w:kern w:val="0"/>
                <w:sz w:val="24"/>
                <w:szCs w:val="32"/>
                <w:lang w:val="fr-FR" w:eastAsia="en-US" w:bidi="ar-SA"/>
              </w:rPr>
            </w:pPr>
            <w:r>
              <w:rPr>
                <w:rFonts w:eastAsia="Calibri" w:cs="DejaVu Sans"/>
                <w:b/>
                <w:bCs/>
                <w:color w:val="014276"/>
                <w:kern w:val="0"/>
                <w:sz w:val="24"/>
                <w:szCs w:val="32"/>
                <w:lang w:val="fr-FR" w:eastAsia="en-US" w:bidi="ar-SA"/>
              </w:rPr>
              <w:t>Description</w:t>
            </w:r>
          </w:p>
        </w:tc>
        <w:tc>
          <w:tcPr>
            <w:tcW w:w="2493" w:type="dxa"/>
            <w:tcBorders>
              <w:top w:val="single" w:sz="2" w:space="0" w:color="000000"/>
              <w:left w:val="single" w:sz="2" w:space="0" w:color="000000"/>
              <w:bottom w:val="single" w:sz="2" w:space="0" w:color="000000"/>
            </w:tcBorders>
            <w:vAlign w:val="center"/>
          </w:tcPr>
          <w:p>
            <w:pPr>
              <w:pStyle w:val="TableHeading"/>
              <w:widowControl w:val="false"/>
              <w:spacing w:before="240" w:after="240"/>
              <w:rPr>
                <w:rFonts w:ascii="Times New Roman" w:hAnsi="Times New Roman" w:eastAsia="Calibri" w:cs="DejaVu Sans"/>
                <w:b/>
                <w:b/>
                <w:bCs/>
                <w:color w:val="014276"/>
                <w:kern w:val="0"/>
                <w:sz w:val="24"/>
                <w:szCs w:val="32"/>
                <w:lang w:val="fr-FR" w:eastAsia="en-US" w:bidi="ar-SA"/>
              </w:rPr>
            </w:pPr>
            <w:r>
              <w:rPr>
                <w:rFonts w:eastAsia="Calibri" w:cs="DejaVu Sans"/>
                <w:b/>
                <w:bCs/>
                <w:color w:val="014276"/>
                <w:kern w:val="0"/>
                <w:sz w:val="24"/>
                <w:szCs w:val="32"/>
                <w:lang w:val="fr-FR" w:eastAsia="en-US" w:bidi="ar-SA"/>
              </w:rPr>
              <w:t>Format accepté</w:t>
            </w:r>
          </w:p>
        </w:tc>
        <w:tc>
          <w:tcPr>
            <w:tcW w:w="2182" w:type="dxa"/>
            <w:tcBorders>
              <w:top w:val="single" w:sz="2" w:space="0" w:color="000000"/>
              <w:left w:val="single" w:sz="2" w:space="0" w:color="000000"/>
              <w:bottom w:val="single" w:sz="2" w:space="0" w:color="000000"/>
              <w:right w:val="single" w:sz="2" w:space="0" w:color="000000"/>
            </w:tcBorders>
            <w:vAlign w:val="center"/>
          </w:tcPr>
          <w:p>
            <w:pPr>
              <w:pStyle w:val="TableHeading"/>
              <w:widowControl w:val="false"/>
              <w:suppressLineNumbers/>
              <w:spacing w:before="240" w:after="240"/>
              <w:jc w:val="center"/>
              <w:rPr/>
            </w:pPr>
            <w:r>
              <w:rPr/>
              <w:t>Exemples concrets</w:t>
            </w:r>
          </w:p>
        </w:tc>
      </w:tr>
      <w:tr>
        <w:trPr/>
        <w:tc>
          <w:tcPr>
            <w:tcW w:w="1625"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DejaVu Sans"/>
                <w:b/>
                <w:bCs/>
                <w:color w:val="014276"/>
                <w:kern w:val="0"/>
                <w:sz w:val="24"/>
                <w:szCs w:val="32"/>
                <w:lang w:val="fr-FR" w:eastAsia="en-US" w:bidi="ar-SA"/>
              </w:rPr>
              <w:t>Type</w:t>
            </w:r>
          </w:p>
        </w:tc>
        <w:tc>
          <w:tcPr>
            <w:tcW w:w="2771" w:type="dxa"/>
            <w:tcBorders>
              <w:left w:val="single" w:sz="2" w:space="0" w:color="000000"/>
              <w:bottom w:val="single" w:sz="2" w:space="0" w:color="000000"/>
            </w:tcBorders>
            <w:vAlign w:val="center"/>
          </w:tcPr>
          <w:p>
            <w:pPr>
              <w:pStyle w:val="TableContents"/>
              <w:widowControl w:val="false"/>
              <w:suppressLineNumbers/>
              <w:spacing w:before="240" w:after="240"/>
              <w:rPr/>
            </w:pPr>
            <w:r>
              <w:rPr/>
              <w:t>Identifie le type de sauvegarde réalisée</w:t>
            </w:r>
          </w:p>
        </w:tc>
        <w:tc>
          <w:tcPr>
            <w:tcW w:w="2493"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ourceText"/>
              </w:rPr>
              <w:t>app</w:t>
            </w:r>
            <w:r>
              <w:rPr/>
              <w:t xml:space="preserve"> (application)</w:t>
            </w:r>
          </w:p>
          <w:p>
            <w:pPr>
              <w:pStyle w:val="TableContents"/>
              <w:widowControl w:val="false"/>
              <w:rPr/>
            </w:pPr>
            <w:r>
              <w:rPr>
                <w:rStyle w:val="SourceText"/>
              </w:rPr>
              <w:t>db</w:t>
            </w:r>
            <w:r>
              <w:rPr/>
              <w:t xml:space="preserve"> (base de données)</w:t>
            </w:r>
          </w:p>
          <w:p>
            <w:pPr>
              <w:pStyle w:val="TableContents"/>
              <w:widowControl w:val="false"/>
              <w:rPr/>
            </w:pPr>
            <w:r>
              <w:rPr>
                <w:rStyle w:val="SourceText"/>
              </w:rPr>
              <w:t>full</w:t>
            </w:r>
            <w:r>
              <w:rPr/>
              <w:t xml:space="preserve"> (complète)</w:t>
            </w:r>
          </w:p>
          <w:p>
            <w:pPr>
              <w:pStyle w:val="TableContents"/>
              <w:widowControl w:val="false"/>
              <w:suppressLineNumbers/>
              <w:spacing w:before="240" w:after="240"/>
              <w:rPr/>
            </w:pPr>
            <w:r>
              <w:rPr>
                <w:rStyle w:val="SourceText"/>
              </w:rPr>
              <w:t>incr</w:t>
            </w:r>
            <w:r>
              <w:rPr/>
              <w:t xml:space="preserve"> (incrémentielle)</w:t>
            </w:r>
          </w:p>
        </w:tc>
        <w:tc>
          <w:tcPr>
            <w:tcW w:w="218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app, db, full, incr</w:t>
            </w:r>
          </w:p>
        </w:tc>
      </w:tr>
      <w:tr>
        <w:trPr/>
        <w:tc>
          <w:tcPr>
            <w:tcW w:w="1625"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DejaVu Sans"/>
                <w:b/>
                <w:bCs/>
                <w:color w:val="014276"/>
                <w:kern w:val="0"/>
                <w:sz w:val="24"/>
                <w:szCs w:val="32"/>
                <w:lang w:val="fr-FR" w:eastAsia="en-US" w:bidi="ar-SA"/>
              </w:rPr>
              <w:t>Serveur</w:t>
            </w:r>
          </w:p>
        </w:tc>
        <w:tc>
          <w:tcPr>
            <w:tcW w:w="2771" w:type="dxa"/>
            <w:tcBorders>
              <w:left w:val="single" w:sz="2" w:space="0" w:color="000000"/>
              <w:bottom w:val="single" w:sz="2" w:space="0" w:color="000000"/>
            </w:tcBorders>
            <w:vAlign w:val="center"/>
          </w:tcPr>
          <w:p>
            <w:pPr>
              <w:pStyle w:val="TableContents"/>
              <w:widowControl w:val="false"/>
              <w:suppressLineNumbers/>
              <w:spacing w:before="240" w:after="240"/>
              <w:rPr/>
            </w:pPr>
            <w:r>
              <w:rPr/>
              <w:t>Désigne le nom court du serveur source</w:t>
            </w:r>
          </w:p>
        </w:tc>
        <w:tc>
          <w:tcPr>
            <w:tcW w:w="2493" w:type="dxa"/>
            <w:tcBorders>
              <w:left w:val="single" w:sz="2" w:space="0" w:color="000000"/>
              <w:bottom w:val="single" w:sz="2" w:space="0" w:color="000000"/>
            </w:tcBorders>
            <w:vAlign w:val="center"/>
          </w:tcPr>
          <w:p>
            <w:pPr>
              <w:pStyle w:val="TableContents"/>
              <w:widowControl w:val="false"/>
              <w:suppressLineNumbers/>
              <w:spacing w:before="240" w:after="240"/>
              <w:rPr/>
            </w:pPr>
            <w:r>
              <w:rPr/>
              <w:t xml:space="preserve">Format : </w:t>
            </w:r>
            <w:r>
              <w:rPr>
                <w:rStyle w:val="SourceText"/>
              </w:rPr>
              <w:t>srv-[env]-[role]-[num]</w:t>
            </w:r>
          </w:p>
          <w:p>
            <w:pPr>
              <w:pStyle w:val="TableContents"/>
              <w:widowControl w:val="false"/>
              <w:rPr/>
            </w:pPr>
            <w:r>
              <w:rPr/>
              <w:t>Environnement : prod, preprod, dev</w:t>
            </w:r>
          </w:p>
          <w:p>
            <w:pPr>
              <w:pStyle w:val="TableContents"/>
              <w:widowControl w:val="false"/>
              <w:rPr/>
            </w:pPr>
            <w:r>
              <w:rPr/>
              <w:t>Rôle : web, db, app</w:t>
            </w:r>
          </w:p>
          <w:p>
            <w:pPr>
              <w:pStyle w:val="TableContents"/>
              <w:widowControl w:val="false"/>
              <w:suppressLineNumbers/>
              <w:spacing w:before="240" w:after="240"/>
              <w:rPr/>
            </w:pPr>
            <w:r>
              <w:rPr/>
              <w:t>Numéro : 01, 02, etc.</w:t>
            </w:r>
          </w:p>
        </w:tc>
        <w:tc>
          <w:tcPr>
            <w:tcW w:w="218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srv-prod-web-01</w:t>
            </w:r>
          </w:p>
          <w:p>
            <w:pPr>
              <w:pStyle w:val="TableContents"/>
              <w:widowControl w:val="false"/>
              <w:suppressLineNumbers/>
              <w:spacing w:before="240" w:after="240"/>
              <w:rPr/>
            </w:pPr>
            <w:r>
              <w:rPr/>
              <w:t>srv-preprod-db-02</w:t>
            </w:r>
          </w:p>
        </w:tc>
      </w:tr>
      <w:tr>
        <w:trPr/>
        <w:tc>
          <w:tcPr>
            <w:tcW w:w="1625"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DejaVu Sans"/>
                <w:b/>
                <w:bCs/>
                <w:color w:val="014276"/>
                <w:kern w:val="0"/>
                <w:sz w:val="24"/>
                <w:szCs w:val="32"/>
                <w:lang w:val="fr-FR" w:eastAsia="en-US" w:bidi="ar-SA"/>
              </w:rPr>
              <w:t>Application</w:t>
            </w:r>
          </w:p>
        </w:tc>
        <w:tc>
          <w:tcPr>
            <w:tcW w:w="2771" w:type="dxa"/>
            <w:tcBorders>
              <w:left w:val="single" w:sz="2" w:space="0" w:color="000000"/>
              <w:bottom w:val="single" w:sz="2" w:space="0" w:color="000000"/>
            </w:tcBorders>
            <w:vAlign w:val="center"/>
          </w:tcPr>
          <w:p>
            <w:pPr>
              <w:pStyle w:val="TableContents"/>
              <w:widowControl w:val="false"/>
              <w:suppressLineNumbers/>
              <w:spacing w:before="240" w:after="240"/>
              <w:rPr/>
            </w:pPr>
            <w:r>
              <w:rPr/>
              <w:t>Identifie l'application ou la base de données sauvegardée</w:t>
            </w:r>
          </w:p>
        </w:tc>
        <w:tc>
          <w:tcPr>
            <w:tcW w:w="2493" w:type="dxa"/>
            <w:tcBorders>
              <w:left w:val="single" w:sz="2" w:space="0" w:color="000000"/>
              <w:bottom w:val="single" w:sz="2" w:space="0" w:color="000000"/>
            </w:tcBorders>
            <w:vAlign w:val="center"/>
          </w:tcPr>
          <w:p>
            <w:pPr>
              <w:pStyle w:val="TableContents"/>
              <w:widowControl w:val="false"/>
              <w:suppressLineNumbers/>
              <w:spacing w:before="240" w:after="240"/>
              <w:rPr/>
            </w:pPr>
            <w:r>
              <w:rPr/>
              <w:t>Minuscules uniquement</w:t>
            </w:r>
          </w:p>
          <w:p>
            <w:pPr>
              <w:pStyle w:val="TableContents"/>
              <w:widowControl w:val="false"/>
              <w:rPr/>
            </w:pPr>
            <w:r>
              <w:rPr/>
              <w:t>Sans espaces ni caractères spéciaux</w:t>
            </w:r>
          </w:p>
          <w:p>
            <w:pPr>
              <w:pStyle w:val="TableContents"/>
              <w:widowControl w:val="false"/>
              <w:suppressLineNumbers/>
              <w:spacing w:before="240" w:after="240"/>
              <w:rPr/>
            </w:pPr>
            <w:r>
              <w:rPr/>
              <w:t>Tirets autorisés</w:t>
            </w:r>
          </w:p>
        </w:tc>
        <w:tc>
          <w:tcPr>
            <w:tcW w:w="218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crm, wordpress, erp, nodejs-api</w:t>
            </w:r>
          </w:p>
        </w:tc>
      </w:tr>
      <w:tr>
        <w:trPr/>
        <w:tc>
          <w:tcPr>
            <w:tcW w:w="1625"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DejaVu Sans"/>
                <w:b/>
                <w:bCs/>
                <w:color w:val="014276"/>
                <w:kern w:val="0"/>
                <w:sz w:val="24"/>
                <w:szCs w:val="32"/>
                <w:lang w:val="fr-FR" w:eastAsia="en-US" w:bidi="ar-SA"/>
              </w:rPr>
              <w:t>YYYYMMDD</w:t>
            </w:r>
          </w:p>
        </w:tc>
        <w:tc>
          <w:tcPr>
            <w:tcW w:w="2771" w:type="dxa"/>
            <w:tcBorders>
              <w:left w:val="single" w:sz="2" w:space="0" w:color="000000"/>
              <w:bottom w:val="single" w:sz="2" w:space="0" w:color="000000"/>
            </w:tcBorders>
            <w:vAlign w:val="center"/>
          </w:tcPr>
          <w:p>
            <w:pPr>
              <w:pStyle w:val="TableContents"/>
              <w:widowControl w:val="false"/>
              <w:suppressLineNumbers/>
              <w:spacing w:before="240" w:after="240"/>
              <w:rPr/>
            </w:pPr>
            <w:r>
              <w:rPr/>
              <w:t>Date d'exécution de la sauvegarde</w:t>
            </w:r>
          </w:p>
        </w:tc>
        <w:tc>
          <w:tcPr>
            <w:tcW w:w="2493" w:type="dxa"/>
            <w:tcBorders>
              <w:left w:val="single" w:sz="2" w:space="0" w:color="000000"/>
              <w:bottom w:val="single" w:sz="2" w:space="0" w:color="000000"/>
            </w:tcBorders>
            <w:vAlign w:val="center"/>
          </w:tcPr>
          <w:p>
            <w:pPr>
              <w:pStyle w:val="TableContents"/>
              <w:widowControl w:val="false"/>
              <w:suppressLineNumbers/>
              <w:spacing w:before="240" w:after="240"/>
              <w:rPr/>
            </w:pPr>
            <w:r>
              <w:rPr/>
              <w:t>Année sur 4 chiffres</w:t>
            </w:r>
          </w:p>
          <w:p>
            <w:pPr>
              <w:pStyle w:val="TableContents"/>
              <w:widowControl w:val="false"/>
              <w:rPr/>
            </w:pPr>
            <w:r>
              <w:rPr/>
              <w:t>Mois sur 2 chiffres</w:t>
            </w:r>
          </w:p>
          <w:p>
            <w:pPr>
              <w:pStyle w:val="TableContents"/>
              <w:widowControl w:val="false"/>
              <w:suppressLineNumbers/>
              <w:spacing w:before="240" w:after="240"/>
              <w:rPr/>
            </w:pPr>
            <w:r>
              <w:rPr/>
              <w:t>Jour sur 2 chiffres</w:t>
            </w:r>
          </w:p>
        </w:tc>
        <w:tc>
          <w:tcPr>
            <w:tcW w:w="218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20260128 (28 janvier 2026)</w:t>
            </w:r>
          </w:p>
        </w:tc>
      </w:tr>
      <w:tr>
        <w:trPr/>
        <w:tc>
          <w:tcPr>
            <w:tcW w:w="1625"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DejaVu Sans"/>
                <w:b/>
                <w:bCs/>
                <w:color w:val="014276"/>
                <w:kern w:val="0"/>
                <w:sz w:val="24"/>
                <w:szCs w:val="32"/>
                <w:lang w:val="fr-FR" w:eastAsia="en-US" w:bidi="ar-SA"/>
              </w:rPr>
              <w:t>HHMM</w:t>
            </w:r>
          </w:p>
        </w:tc>
        <w:tc>
          <w:tcPr>
            <w:tcW w:w="2771" w:type="dxa"/>
            <w:tcBorders>
              <w:left w:val="single" w:sz="2" w:space="0" w:color="000000"/>
              <w:bottom w:val="single" w:sz="2" w:space="0" w:color="000000"/>
            </w:tcBorders>
            <w:vAlign w:val="center"/>
          </w:tcPr>
          <w:p>
            <w:pPr>
              <w:pStyle w:val="TableContents"/>
              <w:widowControl w:val="false"/>
              <w:suppressLineNumbers/>
              <w:spacing w:before="240" w:after="240"/>
              <w:rPr/>
            </w:pPr>
            <w:r>
              <w:rPr/>
              <w:t>Heure d'exécution de la sauvegarde</w:t>
            </w:r>
          </w:p>
        </w:tc>
        <w:tc>
          <w:tcPr>
            <w:tcW w:w="2493" w:type="dxa"/>
            <w:tcBorders>
              <w:left w:val="single" w:sz="2" w:space="0" w:color="000000"/>
              <w:bottom w:val="single" w:sz="2" w:space="0" w:color="000000"/>
            </w:tcBorders>
            <w:vAlign w:val="center"/>
          </w:tcPr>
          <w:p>
            <w:pPr>
              <w:pStyle w:val="TableContents"/>
              <w:widowControl w:val="false"/>
              <w:suppressLineNumbers/>
              <w:spacing w:before="240" w:after="240"/>
              <w:rPr/>
            </w:pPr>
            <w:r>
              <w:rPr/>
              <w:t>Heure sur 2 chiffres (format 24h)</w:t>
            </w:r>
          </w:p>
          <w:p>
            <w:pPr>
              <w:pStyle w:val="TableContents"/>
              <w:widowControl w:val="false"/>
              <w:suppressLineNumbers/>
              <w:spacing w:before="240" w:after="240"/>
              <w:rPr/>
            </w:pPr>
            <w:r>
              <w:rPr/>
              <w:t>Minutes sur 2 chiffres</w:t>
            </w:r>
          </w:p>
        </w:tc>
        <w:tc>
          <w:tcPr>
            <w:tcW w:w="218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0300 (3h00 du matin)</w:t>
            </w:r>
          </w:p>
          <w:p>
            <w:pPr>
              <w:pStyle w:val="TableContents"/>
              <w:widowControl w:val="false"/>
              <w:suppressLineNumbers/>
              <w:spacing w:before="240" w:after="240"/>
              <w:rPr/>
            </w:pPr>
            <w:r>
              <w:rPr/>
              <w:t>1430 (14h30)</w:t>
            </w:r>
          </w:p>
        </w:tc>
      </w:tr>
      <w:tr>
        <w:trPr/>
        <w:tc>
          <w:tcPr>
            <w:tcW w:w="1625"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DejaVu Sans"/>
                <w:b/>
                <w:bCs/>
                <w:color w:val="014276"/>
                <w:kern w:val="0"/>
                <w:sz w:val="24"/>
                <w:szCs w:val="32"/>
                <w:lang w:val="fr-FR" w:eastAsia="en-US" w:bidi="ar-SA"/>
              </w:rPr>
              <w:t>Extension</w:t>
            </w:r>
          </w:p>
        </w:tc>
        <w:tc>
          <w:tcPr>
            <w:tcW w:w="2771" w:type="dxa"/>
            <w:tcBorders>
              <w:left w:val="single" w:sz="2" w:space="0" w:color="000000"/>
              <w:bottom w:val="single" w:sz="2" w:space="0" w:color="000000"/>
            </w:tcBorders>
            <w:vAlign w:val="center"/>
          </w:tcPr>
          <w:p>
            <w:pPr>
              <w:pStyle w:val="TableContents"/>
              <w:widowControl w:val="false"/>
              <w:suppressLineNumbers/>
              <w:spacing w:before="240" w:after="240"/>
              <w:rPr/>
            </w:pPr>
            <w:r>
              <w:rPr/>
              <w:t>Définit le type de compression et de chiffrement</w:t>
            </w:r>
          </w:p>
        </w:tc>
        <w:tc>
          <w:tcPr>
            <w:tcW w:w="2493"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ourceText"/>
              </w:rPr>
              <w:t>.tar.gz</w:t>
            </w:r>
            <w:r>
              <w:rPr/>
              <w:t xml:space="preserve"> (archive compressée)</w:t>
            </w:r>
          </w:p>
          <w:p>
            <w:pPr>
              <w:pStyle w:val="TableContents"/>
              <w:widowControl w:val="false"/>
              <w:rPr/>
            </w:pPr>
            <w:r>
              <w:rPr>
                <w:rStyle w:val="SourceText"/>
              </w:rPr>
              <w:t>.sql.gz</w:t>
            </w:r>
            <w:r>
              <w:rPr/>
              <w:t xml:space="preserve"> (dump SQL compressé)</w:t>
            </w:r>
          </w:p>
          <w:p>
            <w:pPr>
              <w:pStyle w:val="TableContents"/>
              <w:widowControl w:val="false"/>
              <w:suppressLineNumbers/>
              <w:spacing w:before="240" w:after="240"/>
              <w:rPr/>
            </w:pPr>
            <w:r>
              <w:rPr>
                <w:rStyle w:val="SourceText"/>
              </w:rPr>
              <w:t>.enc</w:t>
            </w:r>
            <w:r>
              <w:rPr/>
              <w:t xml:space="preserve"> (fichier chiffré)</w:t>
            </w:r>
          </w:p>
        </w:tc>
        <w:tc>
          <w:tcPr>
            <w:tcW w:w="2182"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.tar.gz</w:t>
            </w:r>
          </w:p>
          <w:p>
            <w:pPr>
              <w:pStyle w:val="TableContents"/>
              <w:widowControl w:val="false"/>
              <w:suppressLineNumbers/>
              <w:spacing w:before="240" w:after="240"/>
              <w:rPr/>
            </w:pPr>
            <w:r>
              <w:rPr/>
              <w:t>.sql.gz.enc</w:t>
            </w:r>
          </w:p>
        </w:tc>
      </w:tr>
    </w:tbl>
    <w:p>
      <w:pPr>
        <w:pStyle w:val="Heading1"/>
        <w:ind w:left="0" w:hanging="0"/>
        <w:rPr/>
      </w:pPr>
      <w:bookmarkStart w:id="10" w:name="__RefHeading___Toc5421_2150708505"/>
      <w:bookmarkEnd w:id="10"/>
      <w:r>
        <w:rPr/>
        <w:t>NOMENCLATURE DES FICHIERS DE SAUVEGARDE</w:t>
      </w:r>
    </w:p>
    <w:p>
      <w:pPr>
        <w:pStyle w:val="Heading2"/>
        <w:ind w:left="0" w:hanging="0"/>
        <w:rPr/>
      </w:pPr>
      <w:bookmarkStart w:id="11" w:name="__RefHeading___Toc5423_2150708505"/>
      <w:bookmarkEnd w:id="11"/>
      <w:r>
        <w:rPr/>
        <w:t>Sauvegardes d'applications</w:t>
      </w:r>
    </w:p>
    <w:p>
      <w:pPr>
        <w:pStyle w:val="TextBody"/>
        <w:rPr/>
      </w:pPr>
      <w:r>
        <w:rPr/>
        <w:t>Les sauvegardes d'applications contiennent l'ensemble des fichiers d'une application (code source, fichiers statiques, configurations, etc.).</w:t>
      </w:r>
    </w:p>
    <w:p>
      <w:pPr>
        <w:pStyle w:val="TextBody"/>
        <w:rPr/>
      </w:pPr>
      <w:r>
        <w:rPr>
          <w:rStyle w:val="StrongEmphasis"/>
          <w:rFonts w:eastAsia="Calibri" w:cs="DejaVu Sans"/>
          <w:color w:val="014276"/>
          <w:kern w:val="0"/>
          <w:sz w:val="24"/>
          <w:szCs w:val="32"/>
          <w:lang w:val="fr-FR" w:eastAsia="en-US" w:bidi="ar-SA"/>
        </w:rPr>
        <w:t>Format standard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app_[serveur]_[application]_[YYYYMMDD]_[HHMM].tar.gz</w:t>
            </w:r>
          </w:p>
          <w:p>
            <w:pPr>
              <w:pStyle w:val="PreformattedText"/>
              <w:widowControl w:val="false"/>
              <w:rPr/>
            </w:pPr>
            <w:r>
              <w:rPr/>
            </w:r>
          </w:p>
          <w:p>
            <w:pPr>
              <w:pStyle w:val="PreformattedText"/>
              <w:widowControl w:val="false"/>
              <w:rPr/>
            </w:pPr>
            <w:r>
              <w:rPr>
                <w:rStyle w:val="SourceText"/>
              </w:rPr>
              <w:t xml:space="preserve"># Exemples d'utilisation : </w:t>
            </w:r>
          </w:p>
          <w:p>
            <w:pPr>
              <w:pStyle w:val="PreformattedText"/>
              <w:widowControl w:val="false"/>
              <w:rPr/>
            </w:pPr>
            <w:r>
              <w:rPr>
                <w:rStyle w:val="SourceText"/>
              </w:rPr>
              <w:t># Sauvegarde du CRM sur le serveur web de production 01</w:t>
            </w:r>
          </w:p>
          <w:p>
            <w:pPr>
              <w:pStyle w:val="PreformattedText"/>
              <w:widowControl w:val="false"/>
              <w:rPr/>
            </w:pPr>
            <w:r>
              <w:rPr>
                <w:rStyle w:val="SourceText"/>
              </w:rPr>
              <w:t>app_srv-prod-web-01_crm_20260128_0300.tar.gz</w:t>
            </w:r>
          </w:p>
          <w:p>
            <w:pPr>
              <w:pStyle w:val="PreformattedText"/>
              <w:widowControl w:val="false"/>
              <w:rPr/>
            </w:pPr>
            <w:r>
              <w:rPr/>
            </w:r>
          </w:p>
          <w:p>
            <w:pPr>
              <w:pStyle w:val="PreformattedText"/>
              <w:widowControl w:val="false"/>
              <w:rPr/>
            </w:pPr>
            <w:r>
              <w:rPr>
                <w:rStyle w:val="SourceText"/>
              </w:rPr>
              <w:t># Sauvegarde d'une API Node.js sur le serveur applicatif de développement 02</w:t>
            </w:r>
          </w:p>
          <w:p>
            <w:pPr>
              <w:pStyle w:val="PreformattedText"/>
              <w:widowControl w:val="false"/>
              <w:spacing w:before="240" w:after="283"/>
              <w:rPr/>
            </w:pPr>
            <w:r>
              <w:rPr>
                <w:rStyle w:val="SourceText"/>
              </w:rPr>
              <w:t>app_srv-dev-app-02_nodejs-api_20260128_0300.tar.gz</w:t>
            </w:r>
          </w:p>
        </w:tc>
      </w:tr>
    </w:tbl>
    <w:p>
      <w:pPr>
        <w:pStyle w:val="TextBody"/>
        <w:rPr>
          <w:rStyle w:val="SourceText"/>
        </w:rPr>
      </w:pPr>
      <w:r>
        <w:rPr/>
      </w:r>
    </w:p>
    <w:p>
      <w:pPr>
        <w:pStyle w:val="TextBody"/>
        <w:rPr/>
      </w:pPr>
      <w:r>
        <w:rPr>
          <w:rStyle w:val="StrongEmphasis"/>
          <w:rFonts w:eastAsia="Calibri" w:cs="DejaVu Sans"/>
          <w:color w:val="014276"/>
          <w:kern w:val="0"/>
          <w:sz w:val="24"/>
          <w:szCs w:val="32"/>
          <w:lang w:val="fr-FR" w:eastAsia="en-US" w:bidi="ar-SA"/>
        </w:rPr>
        <w:t>Format avec chiffrement (obligatoire pour les données personnelles) :</w:t>
      </w:r>
    </w:p>
    <w:p>
      <w:pPr>
        <w:pStyle w:val="TextBody"/>
        <w:rPr/>
      </w:pPr>
      <w:r>
        <w:rPr/>
        <w:t xml:space="preserve">Lorsque l'application contient des données personnelles ou sensibles, le fichier de sauvegarde doit être chiffré. L'extension </w:t>
      </w:r>
      <w:r>
        <w:rPr>
          <w:rStyle w:val="SourceText"/>
        </w:rPr>
        <w:t>.enc</w:t>
      </w:r>
      <w:r>
        <w:rPr/>
        <w:t xml:space="preserve"> est alors ajoutée à la fin du nom de fichier.</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app_[serveur]_[application]_[YYYYMMDD]_[HHMM].tar.gz.enc</w:t>
            </w:r>
          </w:p>
          <w:p>
            <w:pPr>
              <w:pStyle w:val="PreformattedText"/>
              <w:widowControl w:val="false"/>
              <w:rPr/>
            </w:pPr>
            <w:r>
              <w:rPr/>
            </w:r>
          </w:p>
          <w:p>
            <w:pPr>
              <w:pStyle w:val="PreformattedText"/>
              <w:widowControl w:val="false"/>
              <w:rPr/>
            </w:pPr>
            <w:r>
              <w:rPr>
                <w:rStyle w:val="SourceText"/>
              </w:rPr>
              <w:t xml:space="preserve"># Exemple d'utilisation avec données personnelles : </w:t>
            </w:r>
          </w:p>
          <w:p>
            <w:pPr>
              <w:pStyle w:val="PreformattedText"/>
              <w:widowControl w:val="false"/>
              <w:rPr/>
            </w:pPr>
            <w:r>
              <w:rPr>
                <w:rStyle w:val="SourceText"/>
              </w:rPr>
              <w:t># Sauvegarde chiffrée du CRM contenant des données clients</w:t>
            </w:r>
          </w:p>
          <w:p>
            <w:pPr>
              <w:pStyle w:val="PreformattedText"/>
              <w:widowControl w:val="false"/>
              <w:spacing w:before="240" w:after="283"/>
              <w:rPr/>
            </w:pPr>
            <w:r>
              <w:rPr>
                <w:rStyle w:val="SourceText"/>
              </w:rPr>
              <w:t>app_srv-prod-web-01_crm_20260128_0300.tar.gz.enc</w:t>
            </w:r>
          </w:p>
        </w:tc>
      </w:tr>
    </w:tbl>
    <w:p>
      <w:pPr>
        <w:pStyle w:val="TextBody"/>
        <w:rPr>
          <w:rStyle w:val="SourceText"/>
        </w:rPr>
      </w:pPr>
      <w:r>
        <w:rPr/>
      </w:r>
    </w:p>
    <w:p>
      <w:pPr>
        <w:pStyle w:val="Heading2"/>
        <w:ind w:left="0" w:hanging="0"/>
        <w:rPr/>
      </w:pPr>
      <w:bookmarkStart w:id="12" w:name="__RefHeading___Toc5425_2150708505"/>
      <w:bookmarkEnd w:id="12"/>
      <w:r>
        <w:rPr/>
        <w:t>Sauvegardes de bases de données</w:t>
      </w:r>
    </w:p>
    <w:p>
      <w:pPr>
        <w:pStyle w:val="TextBody"/>
        <w:rPr/>
      </w:pPr>
      <w:r>
        <w:rPr/>
        <w:t>Les sauvegardes de bases de données contiennent des dumps SQL compressés, qu'il s'agisse de bases MySQL, PostgreSQL ou autres systèmes de gestion de bases de données.</w:t>
      </w:r>
    </w:p>
    <w:p>
      <w:pPr>
        <w:pStyle w:val="TextBody"/>
        <w:rPr/>
      </w:pPr>
      <w:r>
        <w:rPr>
          <w:rStyle w:val="StrongEmphasis"/>
          <w:rFonts w:eastAsia="Calibri" w:cs="DejaVu Sans"/>
          <w:color w:val="014276"/>
          <w:kern w:val="0"/>
          <w:sz w:val="24"/>
          <w:szCs w:val="32"/>
          <w:lang w:val="fr-FR" w:eastAsia="en-US" w:bidi="ar-SA"/>
        </w:rPr>
        <w:t>Format standard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db_[serveur]_[nom-bdd]_[YYYYMMDD]_[HHMM].sql.gz</w:t>
            </w:r>
          </w:p>
          <w:p>
            <w:pPr>
              <w:pStyle w:val="PreformattedText"/>
              <w:widowControl w:val="false"/>
              <w:rPr/>
            </w:pPr>
            <w:r>
              <w:rPr/>
            </w:r>
          </w:p>
          <w:p>
            <w:pPr>
              <w:pStyle w:val="PreformattedText"/>
              <w:widowControl w:val="false"/>
              <w:rPr/>
            </w:pPr>
            <w:r>
              <w:rPr>
                <w:rStyle w:val="SourceText"/>
              </w:rPr>
              <w:t xml:space="preserve"># Exemples pour différents types de bases de données : </w:t>
            </w:r>
          </w:p>
          <w:p>
            <w:pPr>
              <w:pStyle w:val="PreformattedText"/>
              <w:widowControl w:val="false"/>
              <w:rPr/>
            </w:pPr>
            <w:r>
              <w:rPr>
                <w:rStyle w:val="SourceText"/>
              </w:rPr>
              <w:t># Base de données MySQL - CRM clients</w:t>
            </w:r>
          </w:p>
          <w:p>
            <w:pPr>
              <w:pStyle w:val="PreformattedText"/>
              <w:widowControl w:val="false"/>
              <w:rPr/>
            </w:pPr>
            <w:r>
              <w:rPr>
                <w:rStyle w:val="SourceText"/>
              </w:rPr>
              <w:t>db_srv-prod-db-01_crm-clients_20260128_0300.sql.gz</w:t>
            </w:r>
          </w:p>
          <w:p>
            <w:pPr>
              <w:pStyle w:val="PreformattedText"/>
              <w:widowControl w:val="false"/>
              <w:rPr/>
            </w:pPr>
            <w:r>
              <w:rPr/>
            </w:r>
          </w:p>
          <w:p>
            <w:pPr>
              <w:pStyle w:val="PreformattedText"/>
              <w:widowControl w:val="false"/>
              <w:rPr/>
            </w:pPr>
            <w:r>
              <w:rPr>
                <w:rStyle w:val="SourceText"/>
              </w:rPr>
              <w:t># Base de données MySQL - WordPress</w:t>
            </w:r>
          </w:p>
          <w:p>
            <w:pPr>
              <w:pStyle w:val="PreformattedText"/>
              <w:widowControl w:val="false"/>
              <w:rPr/>
            </w:pPr>
            <w:r>
              <w:rPr>
                <w:rStyle w:val="SourceText"/>
              </w:rPr>
              <w:t>db_srv-prod-db-01_wordpress_20260128_0300.sql.gz</w:t>
            </w:r>
          </w:p>
          <w:p>
            <w:pPr>
              <w:pStyle w:val="PreformattedText"/>
              <w:widowControl w:val="false"/>
              <w:rPr/>
            </w:pPr>
            <w:r>
              <w:rPr/>
            </w:r>
          </w:p>
          <w:p>
            <w:pPr>
              <w:pStyle w:val="PreformattedText"/>
              <w:widowControl w:val="false"/>
              <w:rPr/>
            </w:pPr>
            <w:r>
              <w:rPr>
                <w:rStyle w:val="SourceText"/>
              </w:rPr>
              <w:t># Base de données PostgreSQL - ERP</w:t>
            </w:r>
          </w:p>
          <w:p>
            <w:pPr>
              <w:pStyle w:val="PreformattedText"/>
              <w:widowControl w:val="false"/>
              <w:rPr/>
            </w:pPr>
            <w:r>
              <w:rPr>
                <w:rStyle w:val="SourceText"/>
              </w:rPr>
              <w:t>db_srv-prod-db-01_erp_20260128_0300.sql.gz</w:t>
            </w:r>
          </w:p>
          <w:p>
            <w:pPr>
              <w:pStyle w:val="PreformattedText"/>
              <w:widowControl w:val="false"/>
              <w:rPr/>
            </w:pPr>
            <w:r>
              <w:rPr/>
            </w:r>
          </w:p>
          <w:p>
            <w:pPr>
              <w:pStyle w:val="PreformattedText"/>
              <w:widowControl w:val="false"/>
              <w:rPr/>
            </w:pPr>
            <w:r>
              <w:rPr>
                <w:rStyle w:val="SourceText"/>
              </w:rPr>
              <w:t># Sauvegarde globale de toutes les bases de données d'un serveur</w:t>
            </w:r>
          </w:p>
          <w:p>
            <w:pPr>
              <w:pStyle w:val="PreformattedText"/>
              <w:widowControl w:val="false"/>
              <w:rPr/>
            </w:pPr>
            <w:r>
              <w:rPr>
                <w:rStyle w:val="SourceText"/>
              </w:rPr>
              <w:t>db_srv-prod-db-01_all-databases_20260128_0300.sql.gz</w:t>
            </w:r>
          </w:p>
          <w:p>
            <w:pPr>
              <w:pStyle w:val="PreformattedText"/>
              <w:widowControl w:val="false"/>
              <w:rPr/>
            </w:pPr>
            <w:r>
              <w:rPr/>
            </w:r>
          </w:p>
          <w:p>
            <w:pPr>
              <w:pStyle w:val="PreformattedText"/>
              <w:widowControl w:val="false"/>
              <w:rPr/>
            </w:pPr>
            <w:r>
              <w:rPr>
                <w:rStyle w:val="SourceText"/>
              </w:rPr>
              <w:t xml:space="preserve"># Format avec chiffrement : </w:t>
            </w:r>
          </w:p>
          <w:p>
            <w:pPr>
              <w:pStyle w:val="PreformattedText"/>
              <w:widowControl w:val="false"/>
              <w:rPr/>
            </w:pPr>
            <w:r>
              <w:rPr>
                <w:rStyle w:val="SourceText"/>
              </w:rPr>
              <w:t># Sauvegarde chiffrée de la base CRM contenant des données personnelles</w:t>
            </w:r>
          </w:p>
          <w:p>
            <w:pPr>
              <w:pStyle w:val="PreformattedText"/>
              <w:widowControl w:val="false"/>
              <w:spacing w:before="240" w:after="283"/>
              <w:rPr/>
            </w:pPr>
            <w:r>
              <w:rPr>
                <w:rStyle w:val="SourceText"/>
              </w:rPr>
              <w:t>db_srv-prod-db-01_crm-clients_20260128_0300.sql.gz.enc</w:t>
            </w:r>
          </w:p>
        </w:tc>
      </w:tr>
    </w:tbl>
    <w:p>
      <w:pPr>
        <w:pStyle w:val="TextBody"/>
        <w:rPr>
          <w:rStyle w:val="StrongEmphasis"/>
          <w:rFonts w:ascii="Times New Roman" w:hAnsi="Times New Roman" w:eastAsia="Calibri" w:cs="DejaVu Sans"/>
          <w:color w:val="014276"/>
          <w:kern w:val="0"/>
          <w:sz w:val="24"/>
          <w:szCs w:val="32"/>
          <w:lang w:val="fr-FR" w:eastAsia="en-US" w:bidi="ar-SA"/>
        </w:rPr>
      </w:pPr>
      <w:r>
        <w:rPr>
          <w:rFonts w:eastAsia="Calibri" w:cs="DejaVu Sans"/>
          <w:color w:val="014276"/>
          <w:kern w:val="0"/>
          <w:sz w:val="24"/>
          <w:szCs w:val="32"/>
          <w:lang w:val="fr-FR" w:eastAsia="en-US" w:bidi="ar-SA"/>
        </w:rPr>
      </w:r>
    </w:p>
    <w:p>
      <w:pPr>
        <w:pStyle w:val="Heading2"/>
        <w:ind w:left="0" w:hanging="0"/>
        <w:rPr/>
      </w:pPr>
      <w:bookmarkStart w:id="13" w:name="__RefHeading___Toc5427_2150708505"/>
      <w:bookmarkEnd w:id="13"/>
      <w:r>
        <w:rPr/>
        <w:t xml:space="preserve"> </w:t>
      </w:r>
      <w:r>
        <w:rPr/>
        <w:t>Sauvegardes complètes (Full Backup)</w:t>
      </w:r>
    </w:p>
    <w:p>
      <w:pPr>
        <w:pStyle w:val="TextBody"/>
        <w:rPr/>
      </w:pPr>
      <w:r>
        <w:rPr/>
        <w:t>Les sauvegardes complètes incluent l'intégralité du système ou d'un serveur : système d'exploitation, applications, bases de données, configurations. Elles servent principalement à la restauration complète en cas de sinistre majeur.</w:t>
      </w:r>
    </w:p>
    <w:p>
      <w:pPr>
        <w:pStyle w:val="TextBody"/>
        <w:rPr/>
      </w:pPr>
      <w:r>
        <w:rPr>
          <w:rStyle w:val="StrongEmphasis"/>
          <w:rFonts w:eastAsia="Calibri" w:cs="DejaVu Sans"/>
          <w:color w:val="014276"/>
          <w:kern w:val="0"/>
          <w:sz w:val="24"/>
          <w:szCs w:val="32"/>
          <w:lang w:val="fr-FR" w:eastAsia="en-US" w:bidi="ar-SA"/>
        </w:rPr>
        <w:t>Format standard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full_[serveur]_[YYYYMMDD]_[HHMM].tar.gz</w:t>
            </w:r>
          </w:p>
          <w:p>
            <w:pPr>
              <w:pStyle w:val="PreformattedText"/>
              <w:widowControl w:val="false"/>
              <w:rPr/>
            </w:pPr>
            <w:r>
              <w:rPr/>
            </w:r>
          </w:p>
          <w:p>
            <w:pPr>
              <w:pStyle w:val="PreformattedText"/>
              <w:widowControl w:val="false"/>
              <w:rPr/>
            </w:pPr>
            <w:r>
              <w:rPr>
                <w:rStyle w:val="SourceText"/>
              </w:rPr>
              <w:t xml:space="preserve">#Exemples d'utilisation : </w:t>
            </w:r>
          </w:p>
          <w:p>
            <w:pPr>
              <w:pStyle w:val="PreformattedText"/>
              <w:widowControl w:val="false"/>
              <w:rPr/>
            </w:pPr>
            <w:r>
              <w:rPr>
                <w:rStyle w:val="SourceText"/>
              </w:rPr>
              <w:t># Sauvegarde complète du serveur web de production 01</w:t>
            </w:r>
          </w:p>
          <w:p>
            <w:pPr>
              <w:pStyle w:val="PreformattedText"/>
              <w:widowControl w:val="false"/>
              <w:rPr/>
            </w:pPr>
            <w:r>
              <w:rPr>
                <w:rStyle w:val="SourceText"/>
              </w:rPr>
              <w:t>full_srv-prod-web-01_20260128_0300.tar.gz</w:t>
            </w:r>
          </w:p>
          <w:p>
            <w:pPr>
              <w:pStyle w:val="PreformattedText"/>
              <w:widowControl w:val="false"/>
              <w:rPr/>
            </w:pPr>
            <w:r>
              <w:rPr/>
            </w:r>
          </w:p>
          <w:p>
            <w:pPr>
              <w:pStyle w:val="PreformattedText"/>
              <w:widowControl w:val="false"/>
              <w:rPr/>
            </w:pPr>
            <w:r>
              <w:rPr>
                <w:rStyle w:val="SourceText"/>
              </w:rPr>
              <w:t># Sauvegarde complète du serveur de base de données de production 01</w:t>
            </w:r>
          </w:p>
          <w:p>
            <w:pPr>
              <w:pStyle w:val="PreformattedText"/>
              <w:widowControl w:val="false"/>
              <w:spacing w:before="240" w:after="283"/>
              <w:rPr/>
            </w:pPr>
            <w:r>
              <w:rPr>
                <w:rStyle w:val="SourceText"/>
              </w:rPr>
              <w:t>full_srv-prod-db-01_20260128_0300.tar.gz</w:t>
            </w:r>
          </w:p>
        </w:tc>
      </w:tr>
    </w:tbl>
    <w:p>
      <w:pPr>
        <w:pStyle w:val="Heading3"/>
        <w:spacing w:before="40" w:after="283"/>
        <w:ind w:left="0" w:hanging="0"/>
        <w:rPr>
          <w:rStyle w:val="SourceText"/>
        </w:rPr>
      </w:pPr>
      <w:r>
        <w:rPr/>
      </w:r>
    </w:p>
    <w:p>
      <w:pPr>
        <w:pStyle w:val="Heading2"/>
        <w:ind w:left="0" w:hanging="0"/>
        <w:rPr/>
      </w:pPr>
      <w:bookmarkStart w:id="14" w:name="__RefHeading___Toc5429_2150708505"/>
      <w:bookmarkEnd w:id="14"/>
      <w:r>
        <w:rPr/>
        <w:t>Sauvegardes incrémentielles</w:t>
      </w:r>
    </w:p>
    <w:p>
      <w:pPr>
        <w:pStyle w:val="TextBody"/>
        <w:rPr/>
      </w:pPr>
      <w:r>
        <w:rPr/>
        <w:t>Les sauvegardes incrémentielles ne contiennent que les modifications effectuées depuis la dernière sauvegarde (complète ou incrémentielle). Elles permettent d'optimiser l'espace disque et le temps de sauvegarde.</w:t>
      </w:r>
    </w:p>
    <w:p>
      <w:pPr>
        <w:pStyle w:val="TextBody"/>
        <w:rPr/>
      </w:pPr>
      <w:r>
        <w:rPr>
          <w:rStyle w:val="StrongEmphasis"/>
          <w:rFonts w:eastAsia="Calibri" w:cs="DejaVu Sans"/>
          <w:color w:val="014276"/>
          <w:kern w:val="0"/>
          <w:sz w:val="24"/>
          <w:szCs w:val="32"/>
          <w:lang w:val="fr-FR" w:eastAsia="en-US" w:bidi="ar-SA"/>
        </w:rPr>
        <w:t>Format standard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incr_[serveur]_[application]_[YYYYMMDD]_[HHMM].tar.gz</w:t>
            </w:r>
          </w:p>
          <w:p>
            <w:pPr>
              <w:pStyle w:val="PreformattedText"/>
              <w:widowControl w:val="false"/>
              <w:rPr/>
            </w:pPr>
            <w:r>
              <w:rPr/>
            </w:r>
          </w:p>
          <w:p>
            <w:pPr>
              <w:pStyle w:val="PreformattedText"/>
              <w:widowControl w:val="false"/>
              <w:rPr/>
            </w:pPr>
            <w:r>
              <w:rPr>
                <w:rStyle w:val="SourceText"/>
              </w:rPr>
              <w:t xml:space="preserve"># Exemples d'utilisation : </w:t>
            </w:r>
          </w:p>
          <w:p>
            <w:pPr>
              <w:pStyle w:val="PreformattedText"/>
              <w:widowControl w:val="false"/>
              <w:rPr/>
            </w:pPr>
            <w:r>
              <w:rPr>
                <w:rStyle w:val="SourceText"/>
              </w:rPr>
              <w:t># Sauvegarde incrémentielle de WordPress</w:t>
            </w:r>
          </w:p>
          <w:p>
            <w:pPr>
              <w:pStyle w:val="PreformattedText"/>
              <w:widowControl w:val="false"/>
              <w:rPr/>
            </w:pPr>
            <w:r>
              <w:rPr>
                <w:rStyle w:val="SourceText"/>
              </w:rPr>
              <w:t>incr_srv-prod-web-01_wordpress_20260128_0300.tar.gz</w:t>
            </w:r>
          </w:p>
          <w:p>
            <w:pPr>
              <w:pStyle w:val="PreformattedText"/>
              <w:widowControl w:val="false"/>
              <w:rPr/>
            </w:pPr>
            <w:r>
              <w:rPr/>
            </w:r>
          </w:p>
          <w:p>
            <w:pPr>
              <w:pStyle w:val="PreformattedText"/>
              <w:widowControl w:val="false"/>
              <w:rPr/>
            </w:pPr>
            <w:r>
              <w:rPr>
                <w:rStyle w:val="SourceText"/>
              </w:rPr>
              <w:t># Sauvegarde incrémentielle de la base CRM</w:t>
            </w:r>
          </w:p>
          <w:p>
            <w:pPr>
              <w:pStyle w:val="PreformattedText"/>
              <w:widowControl w:val="false"/>
              <w:spacing w:before="240" w:after="283"/>
              <w:rPr/>
            </w:pPr>
            <w:r>
              <w:rPr>
                <w:rStyle w:val="SourceText"/>
              </w:rPr>
              <w:t>incr_srv-prod-db-01_crm-clients_20260128_0300.tar.gz</w:t>
            </w:r>
          </w:p>
        </w:tc>
      </w:tr>
    </w:tbl>
    <w:p>
      <w:pPr>
        <w:pStyle w:val="Heading2"/>
        <w:ind w:left="0" w:hanging="0"/>
        <w:rPr>
          <w:rStyle w:val="SourceText"/>
        </w:rPr>
      </w:pPr>
      <w:r>
        <w:rPr/>
      </w:r>
    </w:p>
    <w:p>
      <w:pPr>
        <w:pStyle w:val="Heading1"/>
        <w:ind w:left="0" w:hanging="0"/>
        <w:rPr/>
      </w:pPr>
      <w:bookmarkStart w:id="15" w:name="__RefHeading___Toc5431_2150708505"/>
      <w:bookmarkEnd w:id="15"/>
      <w:r>
        <w:rPr/>
        <w:t>NOMENCLATURE DES SCRIPTS</w:t>
      </w:r>
    </w:p>
    <w:p>
      <w:pPr>
        <w:pStyle w:val="Heading2"/>
        <w:ind w:left="0" w:hanging="0"/>
        <w:rPr/>
      </w:pPr>
      <w:bookmarkStart w:id="16" w:name="__RefHeading___Toc5433_2150708505"/>
      <w:bookmarkEnd w:id="16"/>
      <w:r>
        <w:rPr/>
        <w:t>Scripts de sauvegarde automatisée</w:t>
      </w:r>
    </w:p>
    <w:p>
      <w:pPr>
        <w:pStyle w:val="TextBody"/>
        <w:rPr/>
      </w:pPr>
      <w:r>
        <w:rPr/>
        <w:t>Les scripts de sauvegarde sont des programmes shell (bash) qui automatisent le processus de création des fichiers de sauvegarde. Chaque script est dédié à une tâche spécifique.</w:t>
      </w:r>
    </w:p>
    <w:p>
      <w:pPr>
        <w:pStyle w:val="TextBody"/>
        <w:rPr/>
      </w:pPr>
      <w:r>
        <w:rPr>
          <w:rStyle w:val="StrongEmphasis"/>
          <w:rFonts w:eastAsia="Calibri" w:cs="DejaVu Sans"/>
          <w:color w:val="014276"/>
          <w:kern w:val="0"/>
          <w:sz w:val="24"/>
          <w:szCs w:val="32"/>
          <w:lang w:val="fr-FR" w:eastAsia="en-US" w:bidi="ar-SA"/>
        </w:rPr>
        <w:t>Format standard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backup_[type]_[serveur]_[application].sh</w:t>
            </w:r>
          </w:p>
          <w:p>
            <w:pPr>
              <w:pStyle w:val="PreformattedText"/>
              <w:widowControl w:val="false"/>
              <w:rPr/>
            </w:pPr>
            <w:r>
              <w:rPr/>
            </w:r>
          </w:p>
          <w:p>
            <w:pPr>
              <w:pStyle w:val="PreformattedText"/>
              <w:widowControl w:val="false"/>
              <w:rPr/>
            </w:pPr>
            <w:r>
              <w:rPr>
                <w:rStyle w:val="SourceText"/>
              </w:rPr>
              <w:t xml:space="preserve"># Exemples concrets : </w:t>
            </w:r>
          </w:p>
          <w:p>
            <w:pPr>
              <w:pStyle w:val="PreformattedText"/>
              <w:widowControl w:val="false"/>
              <w:rPr/>
            </w:pPr>
            <w:r>
              <w:rPr>
                <w:rStyle w:val="SourceText"/>
              </w:rPr>
              <w:t># Script de sauvegarde de l'application WordPress</w:t>
            </w:r>
          </w:p>
          <w:p>
            <w:pPr>
              <w:pStyle w:val="PreformattedText"/>
              <w:widowControl w:val="false"/>
              <w:rPr/>
            </w:pPr>
            <w:r>
              <w:rPr>
                <w:rStyle w:val="SourceText"/>
              </w:rPr>
              <w:t>backup_app_srv-prod-web-01_wordpress.sh</w:t>
            </w:r>
          </w:p>
          <w:p>
            <w:pPr>
              <w:pStyle w:val="PreformattedText"/>
              <w:widowControl w:val="false"/>
              <w:rPr/>
            </w:pPr>
            <w:r>
              <w:rPr/>
            </w:r>
          </w:p>
          <w:p>
            <w:pPr>
              <w:pStyle w:val="PreformattedText"/>
              <w:widowControl w:val="false"/>
              <w:rPr/>
            </w:pPr>
            <w:r>
              <w:rPr>
                <w:rStyle w:val="SourceText"/>
              </w:rPr>
              <w:t># Script de sauvegarde de la base de données CRM</w:t>
            </w:r>
          </w:p>
          <w:p>
            <w:pPr>
              <w:pStyle w:val="PreformattedText"/>
              <w:widowControl w:val="false"/>
              <w:rPr/>
            </w:pPr>
            <w:r>
              <w:rPr>
                <w:rStyle w:val="SourceText"/>
              </w:rPr>
              <w:t>backup_db_srv-prod-db-01_crm-clients.sh</w:t>
            </w:r>
          </w:p>
          <w:p>
            <w:pPr>
              <w:pStyle w:val="PreformattedText"/>
              <w:widowControl w:val="false"/>
              <w:rPr/>
            </w:pPr>
            <w:r>
              <w:rPr/>
            </w:r>
          </w:p>
          <w:p>
            <w:pPr>
              <w:pStyle w:val="PreformattedText"/>
              <w:widowControl w:val="false"/>
              <w:rPr/>
            </w:pPr>
            <w:r>
              <w:rPr>
                <w:rStyle w:val="SourceText"/>
              </w:rPr>
              <w:t># Script de sauvegarde de toutes les bases de données du serveur</w:t>
            </w:r>
          </w:p>
          <w:p>
            <w:pPr>
              <w:pStyle w:val="PreformattedText"/>
              <w:widowControl w:val="false"/>
              <w:rPr/>
            </w:pPr>
            <w:r>
              <w:rPr>
                <w:rStyle w:val="SourceText"/>
              </w:rPr>
              <w:t>backup_db_srv-prod-db-01_all-databases.sh</w:t>
            </w:r>
          </w:p>
          <w:p>
            <w:pPr>
              <w:pStyle w:val="PreformattedText"/>
              <w:widowControl w:val="false"/>
              <w:rPr/>
            </w:pPr>
            <w:r>
              <w:rPr/>
            </w:r>
          </w:p>
          <w:p>
            <w:pPr>
              <w:pStyle w:val="PreformattedText"/>
              <w:widowControl w:val="false"/>
              <w:rPr/>
            </w:pPr>
            <w:r>
              <w:rPr>
                <w:rStyle w:val="SourceText"/>
              </w:rPr>
              <w:t># Script de sauvegarde complète du serveur web</w:t>
            </w:r>
          </w:p>
          <w:p>
            <w:pPr>
              <w:pStyle w:val="PreformattedText"/>
              <w:widowControl w:val="false"/>
              <w:spacing w:before="240" w:after="283"/>
              <w:rPr/>
            </w:pPr>
            <w:r>
              <w:rPr>
                <w:rStyle w:val="SourceText"/>
              </w:rPr>
              <w:t>backup_full_srv-prod-web-01.sh</w:t>
            </w:r>
          </w:p>
        </w:tc>
      </w:tr>
    </w:tbl>
    <w:p>
      <w:pPr>
        <w:pStyle w:val="TextBody"/>
        <w:rPr>
          <w:rStyle w:val="SourceText"/>
        </w:rPr>
      </w:pPr>
      <w:r>
        <w:rPr/>
      </w:r>
    </w:p>
    <w:p>
      <w:pPr>
        <w:pStyle w:val="Heading2"/>
        <w:ind w:left="0" w:hanging="0"/>
        <w:rPr/>
      </w:pPr>
      <w:bookmarkStart w:id="17" w:name="__RefHeading___Toc5435_2150708505"/>
      <w:bookmarkEnd w:id="17"/>
      <w:r>
        <w:rPr>
          <w:rStyle w:val="StrongEmphasis"/>
          <w:b/>
        </w:rPr>
        <w:t>Structure d'en-tête obligatoire pour chaque script de sauvegarde :</w:t>
      </w:r>
    </w:p>
    <w:p>
      <w:pPr>
        <w:pStyle w:val="TextBody"/>
        <w:rPr/>
      </w:pPr>
      <w:r>
        <w:rPr/>
        <w:t>Chaque script doit débuter par un en-tête documenté qui facilite la maintenance et la compréhension du code.</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#!/bin/bash</w:t>
            </w:r>
          </w:p>
          <w:p>
            <w:pPr>
              <w:pStyle w:val="PreformattedText"/>
              <w:widowControl w:val="false"/>
              <w:rPr/>
            </w:pPr>
            <w:r>
              <w:rPr>
                <w:rStyle w:val="SourceText"/>
              </w:rPr>
              <w:t>#</w:t>
            </w:r>
          </w:p>
          <w:p>
            <w:pPr>
              <w:pStyle w:val="PreformattedText"/>
              <w:widowControl w:val="false"/>
              <w:rPr/>
            </w:pPr>
            <w:r>
              <w:rPr>
                <w:rStyle w:val="SourceText"/>
              </w:rPr>
              <w:t># Nom : backup_db_srv-prod-db-01_crm-clients.sh</w:t>
            </w:r>
          </w:p>
          <w:p>
            <w:pPr>
              <w:pStyle w:val="PreformattedText"/>
              <w:widowControl w:val="false"/>
              <w:rPr/>
            </w:pPr>
            <w:r>
              <w:rPr>
                <w:rStyle w:val="SourceText"/>
              </w:rPr>
              <w:t># Description : Sauvegarde quotidienne de la base de données MySQL du CRM</w:t>
            </w:r>
          </w:p>
          <w:p>
            <w:pPr>
              <w:pStyle w:val="PreformattedText"/>
              <w:widowControl w:val="false"/>
              <w:rPr/>
            </w:pPr>
            <w:r>
              <w:rPr>
                <w:rStyle w:val="SourceText"/>
              </w:rPr>
              <w:t># Serveur cible : srv-prod-db-01</w:t>
            </w:r>
          </w:p>
          <w:p>
            <w:pPr>
              <w:pStyle w:val="PreformattedText"/>
              <w:widowControl w:val="false"/>
              <w:rPr/>
            </w:pPr>
            <w:r>
              <w:rPr>
                <w:rStyle w:val="SourceText"/>
              </w:rPr>
              <w:t># Type de sauvegarde : Base de données MySQL</w:t>
            </w:r>
          </w:p>
          <w:p>
            <w:pPr>
              <w:pStyle w:val="PreformattedText"/>
              <w:widowControl w:val="false"/>
              <w:rPr/>
            </w:pPr>
            <w:r>
              <w:rPr>
                <w:rStyle w:val="SourceText"/>
              </w:rPr>
              <w:t># Chiffrement : Oui (contient des données personnelles protégées par le RGPD)</w:t>
            </w:r>
          </w:p>
          <w:p>
            <w:pPr>
              <w:pStyle w:val="PreformattedText"/>
              <w:widowControl w:val="false"/>
              <w:rPr/>
            </w:pPr>
            <w:r>
              <w:rPr>
                <w:rStyle w:val="SourceText"/>
              </w:rPr>
              <w:t># Politique de rétention : 90 jours</w:t>
            </w:r>
          </w:p>
          <w:p>
            <w:pPr>
              <w:pStyle w:val="PreformattedText"/>
              <w:widowControl w:val="false"/>
              <w:rPr/>
            </w:pPr>
            <w:r>
              <w:rPr>
                <w:rStyle w:val="SourceText"/>
              </w:rPr>
              <w:t># Fréquence d'exécution : Quotidienne à 03:00</w:t>
            </w:r>
          </w:p>
          <w:p>
            <w:pPr>
              <w:pStyle w:val="PreformattedText"/>
              <w:widowControl w:val="false"/>
              <w:rPr/>
            </w:pPr>
            <w:r>
              <w:rPr>
                <w:rStyle w:val="SourceText"/>
              </w:rPr>
              <w:t># Auteur : [Votre Nom]</w:t>
            </w:r>
          </w:p>
          <w:p>
            <w:pPr>
              <w:pStyle w:val="PreformattedText"/>
              <w:widowControl w:val="false"/>
              <w:rPr/>
            </w:pPr>
            <w:r>
              <w:rPr>
                <w:rStyle w:val="SourceText"/>
              </w:rPr>
              <w:t># Date de création : 28/01/2026</w:t>
            </w:r>
          </w:p>
          <w:p>
            <w:pPr>
              <w:pStyle w:val="PreformattedText"/>
              <w:widowControl w:val="false"/>
              <w:rPr/>
            </w:pPr>
            <w:r>
              <w:rPr>
                <w:rStyle w:val="SourceText"/>
              </w:rPr>
              <w:t># Version : 1.0</w:t>
            </w:r>
          </w:p>
          <w:p>
            <w:pPr>
              <w:pStyle w:val="PreformattedText"/>
              <w:widowControl w:val="false"/>
              <w:spacing w:before="240" w:after="283"/>
              <w:rPr/>
            </w:pPr>
            <w:r>
              <w:rPr>
                <w:rStyle w:val="SourceText"/>
              </w:rPr>
              <w:t>#</w:t>
            </w:r>
          </w:p>
        </w:tc>
      </w:tr>
    </w:tbl>
    <w:p>
      <w:pPr>
        <w:pStyle w:val="Heading3"/>
        <w:spacing w:before="40" w:after="283"/>
        <w:ind w:left="0" w:hanging="0"/>
        <w:rPr/>
      </w:pPr>
      <w:r>
        <w:rPr/>
      </w:r>
    </w:p>
    <w:p>
      <w:pPr>
        <w:pStyle w:val="Heading2"/>
        <w:ind w:left="0" w:hanging="0"/>
        <w:rPr/>
      </w:pPr>
      <w:bookmarkStart w:id="18" w:name="__RefHeading___Toc5437_2150708505"/>
      <w:bookmarkEnd w:id="18"/>
      <w:r>
        <w:rPr/>
        <w:t>Scripts de nettoyage automatique</w:t>
      </w:r>
    </w:p>
    <w:p>
      <w:pPr>
        <w:pStyle w:val="TextBody"/>
        <w:rPr/>
      </w:pPr>
      <w:r>
        <w:rPr/>
        <w:t>Les scripts de nettoyage (cleanup) suppriment automatiquement les sauvegardes obsolètes selon la politique de rétention définie. Ils évitent la saturation de l'espace disque et garantissent le respect des durées de conservation légales.</w:t>
      </w:r>
    </w:p>
    <w:p>
      <w:pPr>
        <w:pStyle w:val="TextBody"/>
        <w:rPr/>
      </w:pPr>
      <w:r>
        <w:rPr>
          <w:rStyle w:val="StrongEmphasis"/>
          <w:rFonts w:eastAsia="Calibri" w:cs="DejaVu Sans"/>
          <w:color w:val="014276"/>
          <w:kern w:val="0"/>
          <w:sz w:val="24"/>
          <w:szCs w:val="32"/>
          <w:lang w:val="fr-FR" w:eastAsia="en-US" w:bidi="ar-SA"/>
        </w:rPr>
        <w:t>Format standard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spacing w:before="240" w:after="283"/>
              <w:rPr/>
            </w:pPr>
            <w:r>
              <w:rPr>
                <w:rStyle w:val="SourceText"/>
              </w:rPr>
              <w:t>cleanup_[type]_[serveur]_[application]_[retention].sh</w:t>
            </w:r>
          </w:p>
        </w:tc>
      </w:tr>
    </w:tbl>
    <w:p>
      <w:pPr>
        <w:pStyle w:val="TextBody"/>
        <w:rPr>
          <w:rStyle w:val="StrongEmphasis"/>
          <w:rFonts w:eastAsia="Calibri" w:cs="DejaVu Sans"/>
          <w:color w:val="014276"/>
          <w:kern w:val="0"/>
          <w:sz w:val="24"/>
          <w:szCs w:val="32"/>
          <w:lang w:val="fr-FR" w:eastAsia="en-US" w:bidi="ar-SA"/>
        </w:rPr>
      </w:pPr>
      <w:r>
        <w:rPr/>
      </w:r>
    </w:p>
    <w:p>
      <w:pPr>
        <w:pStyle w:val="TextBody"/>
        <w:rPr/>
      </w:pPr>
      <w:r>
        <w:rPr>
          <w:rStyle w:val="StrongEmphasis"/>
          <w:rFonts w:eastAsia="Calibri" w:cs="DejaVu Sans"/>
          <w:color w:val="014276"/>
          <w:kern w:val="0"/>
          <w:sz w:val="24"/>
          <w:szCs w:val="32"/>
          <w:lang w:val="fr-FR" w:eastAsia="en-US" w:bidi="ar-SA"/>
        </w:rPr>
        <w:t>Valeurs acceptées pour le paramètre de rétention :</w:t>
      </w:r>
    </w:p>
    <w:tbl>
      <w:tblPr>
        <w:tblW w:w="9072" w:type="dxa"/>
        <w:jc w:val="left"/>
        <w:tblInd w:w="0" w:type="dxa"/>
        <w:tblLayout w:type="fixed"/>
        <w:tblCellMar>
          <w:top w:w="29" w:type="dxa"/>
          <w:left w:w="29" w:type="dxa"/>
          <w:bottom w:w="29" w:type="dxa"/>
          <w:right w:w="29" w:type="dxa"/>
        </w:tblCellMar>
      </w:tblPr>
      <w:tblGrid>
        <w:gridCol w:w="1115"/>
        <w:gridCol w:w="3901"/>
        <w:gridCol w:w="4056"/>
      </w:tblGrid>
      <w:tr>
        <w:trPr/>
        <w:tc>
          <w:tcPr>
            <w:tcW w:w="1115" w:type="dxa"/>
            <w:tcBorders>
              <w:top w:val="single" w:sz="2" w:space="0" w:color="000000"/>
              <w:left w:val="single" w:sz="2" w:space="0" w:color="000000"/>
              <w:bottom w:val="single" w:sz="2" w:space="0" w:color="000000"/>
            </w:tcBorders>
            <w:vAlign w:val="center"/>
          </w:tcPr>
          <w:p>
            <w:pPr>
              <w:pStyle w:val="TableHeading"/>
              <w:widowControl w:val="false"/>
              <w:suppressLineNumbers/>
              <w:spacing w:before="240" w:after="240"/>
              <w:jc w:val="center"/>
              <w:rPr/>
            </w:pPr>
            <w:r>
              <w:rPr>
                <w:rStyle w:val="StrongEmphasis"/>
                <w:rFonts w:eastAsia="Calibri" w:cs="DejaVu Sans"/>
                <w:b/>
                <w:color w:val="014276"/>
                <w:kern w:val="0"/>
                <w:sz w:val="24"/>
                <w:szCs w:val="32"/>
                <w:lang w:val="fr-FR" w:eastAsia="en-US" w:bidi="ar-SA"/>
              </w:rPr>
              <w:t>Rétention</w:t>
            </w:r>
          </w:p>
        </w:tc>
        <w:tc>
          <w:tcPr>
            <w:tcW w:w="3901" w:type="dxa"/>
            <w:tcBorders>
              <w:top w:val="single" w:sz="2" w:space="0" w:color="000000"/>
              <w:left w:val="single" w:sz="2" w:space="0" w:color="000000"/>
              <w:bottom w:val="single" w:sz="2" w:space="0" w:color="000000"/>
            </w:tcBorders>
            <w:vAlign w:val="center"/>
          </w:tcPr>
          <w:p>
            <w:pPr>
              <w:pStyle w:val="TableHeading"/>
              <w:widowControl w:val="false"/>
              <w:suppressLineNumbers/>
              <w:spacing w:before="240" w:after="240"/>
              <w:jc w:val="center"/>
              <w:rPr/>
            </w:pPr>
            <w:r>
              <w:rPr>
                <w:rStyle w:val="StrongEmphasis"/>
                <w:rFonts w:eastAsia="Calibri" w:cs="DejaVu Sans"/>
                <w:b/>
                <w:color w:val="014276"/>
                <w:kern w:val="0"/>
                <w:sz w:val="24"/>
                <w:szCs w:val="32"/>
                <w:lang w:val="fr-FR" w:eastAsia="en-US" w:bidi="ar-SA"/>
              </w:rPr>
              <w:t>Signification</w:t>
            </w:r>
          </w:p>
        </w:tc>
        <w:tc>
          <w:tcPr>
            <w:tcW w:w="4056" w:type="dxa"/>
            <w:tcBorders>
              <w:top w:val="single" w:sz="2" w:space="0" w:color="000000"/>
              <w:left w:val="single" w:sz="2" w:space="0" w:color="000000"/>
              <w:bottom w:val="single" w:sz="2" w:space="0" w:color="000000"/>
              <w:right w:val="single" w:sz="2" w:space="0" w:color="000000"/>
            </w:tcBorders>
            <w:vAlign w:val="center"/>
          </w:tcPr>
          <w:p>
            <w:pPr>
              <w:pStyle w:val="TableHeading"/>
              <w:widowControl w:val="false"/>
              <w:suppressLineNumbers/>
              <w:spacing w:before="240" w:after="240"/>
              <w:jc w:val="center"/>
              <w:rPr/>
            </w:pPr>
            <w:r>
              <w:rPr>
                <w:rStyle w:val="StrongEmphasis"/>
                <w:rFonts w:eastAsia="Calibri" w:cs="DejaVu Sans"/>
                <w:b/>
                <w:color w:val="014276"/>
                <w:kern w:val="0"/>
                <w:sz w:val="24"/>
                <w:szCs w:val="32"/>
                <w:lang w:val="fr-FR" w:eastAsia="en-US" w:bidi="ar-SA"/>
              </w:rPr>
              <w:t>Utilisation typique</w:t>
            </w:r>
          </w:p>
        </w:tc>
      </w:tr>
      <w:tr>
        <w:trPr/>
        <w:tc>
          <w:tcPr>
            <w:tcW w:w="1115"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DejaVu Sans"/>
                <w:color w:val="014276"/>
                <w:kern w:val="0"/>
                <w:sz w:val="24"/>
                <w:szCs w:val="32"/>
                <w:lang w:val="fr-FR" w:eastAsia="en-US" w:bidi="ar-SA"/>
              </w:rPr>
              <w:t>48h</w:t>
            </w:r>
          </w:p>
        </w:tc>
        <w:tc>
          <w:tcPr>
            <w:tcW w:w="3901" w:type="dxa"/>
            <w:tcBorders>
              <w:left w:val="single" w:sz="2" w:space="0" w:color="000000"/>
              <w:bottom w:val="single" w:sz="2" w:space="0" w:color="000000"/>
            </w:tcBorders>
            <w:vAlign w:val="center"/>
          </w:tcPr>
          <w:p>
            <w:pPr>
              <w:pStyle w:val="TableContents"/>
              <w:widowControl w:val="false"/>
              <w:suppressLineNumbers/>
              <w:spacing w:before="240" w:after="240"/>
              <w:rPr/>
            </w:pPr>
            <w:r>
              <w:rPr/>
              <w:t>Supprime les sauvegardes datant de plus de 48 heures</w:t>
            </w:r>
          </w:p>
        </w:tc>
        <w:tc>
          <w:tcPr>
            <w:tcW w:w="4056"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Sauvegardes quotidiennes avec rotation rapide</w:t>
            </w:r>
          </w:p>
        </w:tc>
      </w:tr>
      <w:tr>
        <w:trPr/>
        <w:tc>
          <w:tcPr>
            <w:tcW w:w="1115"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DejaVu Sans"/>
                <w:color w:val="014276"/>
                <w:kern w:val="0"/>
                <w:sz w:val="24"/>
                <w:szCs w:val="32"/>
                <w:lang w:val="fr-FR" w:eastAsia="en-US" w:bidi="ar-SA"/>
              </w:rPr>
              <w:t>7d</w:t>
            </w:r>
          </w:p>
        </w:tc>
        <w:tc>
          <w:tcPr>
            <w:tcW w:w="3901" w:type="dxa"/>
            <w:tcBorders>
              <w:left w:val="single" w:sz="2" w:space="0" w:color="000000"/>
              <w:bottom w:val="single" w:sz="2" w:space="0" w:color="000000"/>
            </w:tcBorders>
            <w:vAlign w:val="center"/>
          </w:tcPr>
          <w:p>
            <w:pPr>
              <w:pStyle w:val="TableContents"/>
              <w:widowControl w:val="false"/>
              <w:suppressLineNumbers/>
              <w:spacing w:before="240" w:after="240"/>
              <w:rPr/>
            </w:pPr>
            <w:r>
              <w:rPr/>
              <w:t>Supprime les sauvegardes datant de plus de 7 jours</w:t>
            </w:r>
          </w:p>
        </w:tc>
        <w:tc>
          <w:tcPr>
            <w:tcW w:w="4056"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Sauvegardes hebdomadaires</w:t>
            </w:r>
          </w:p>
        </w:tc>
      </w:tr>
      <w:tr>
        <w:trPr/>
        <w:tc>
          <w:tcPr>
            <w:tcW w:w="1115"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DejaVu Sans"/>
                <w:color w:val="014276"/>
                <w:kern w:val="0"/>
                <w:sz w:val="24"/>
                <w:szCs w:val="32"/>
                <w:lang w:val="fr-FR" w:eastAsia="en-US" w:bidi="ar-SA"/>
              </w:rPr>
              <w:t>30d</w:t>
            </w:r>
          </w:p>
        </w:tc>
        <w:tc>
          <w:tcPr>
            <w:tcW w:w="3901" w:type="dxa"/>
            <w:tcBorders>
              <w:left w:val="single" w:sz="2" w:space="0" w:color="000000"/>
              <w:bottom w:val="single" w:sz="2" w:space="0" w:color="000000"/>
            </w:tcBorders>
            <w:vAlign w:val="center"/>
          </w:tcPr>
          <w:p>
            <w:pPr>
              <w:pStyle w:val="TableContents"/>
              <w:widowControl w:val="false"/>
              <w:suppressLineNumbers/>
              <w:spacing w:before="240" w:after="240"/>
              <w:rPr/>
            </w:pPr>
            <w:r>
              <w:rPr/>
              <w:t>Supprime les sauvegardes datant de plus de 30 jours</w:t>
            </w:r>
          </w:p>
        </w:tc>
        <w:tc>
          <w:tcPr>
            <w:tcW w:w="4056"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Sauvegardes mensuelles ou complètes</w:t>
            </w:r>
          </w:p>
        </w:tc>
      </w:tr>
      <w:tr>
        <w:trPr/>
        <w:tc>
          <w:tcPr>
            <w:tcW w:w="1115"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DejaVu Sans"/>
                <w:color w:val="014276"/>
                <w:kern w:val="0"/>
                <w:sz w:val="24"/>
                <w:szCs w:val="32"/>
                <w:lang w:val="fr-FR" w:eastAsia="en-US" w:bidi="ar-SA"/>
              </w:rPr>
              <w:t>90d</w:t>
            </w:r>
          </w:p>
        </w:tc>
        <w:tc>
          <w:tcPr>
            <w:tcW w:w="3901" w:type="dxa"/>
            <w:tcBorders>
              <w:left w:val="single" w:sz="2" w:space="0" w:color="000000"/>
              <w:bottom w:val="single" w:sz="2" w:space="0" w:color="000000"/>
            </w:tcBorders>
            <w:vAlign w:val="center"/>
          </w:tcPr>
          <w:p>
            <w:pPr>
              <w:pStyle w:val="TableContents"/>
              <w:widowControl w:val="false"/>
              <w:suppressLineNumbers/>
              <w:spacing w:before="240" w:after="240"/>
              <w:rPr/>
            </w:pPr>
            <w:r>
              <w:rPr/>
              <w:t>Supprime les sauvegardes datant de plus de 90 jours</w:t>
            </w:r>
          </w:p>
        </w:tc>
        <w:tc>
          <w:tcPr>
            <w:tcW w:w="4056"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Données personnelles standard</w:t>
            </w:r>
          </w:p>
        </w:tc>
      </w:tr>
      <w:tr>
        <w:trPr/>
        <w:tc>
          <w:tcPr>
            <w:tcW w:w="1115" w:type="dxa"/>
            <w:tcBorders>
              <w:left w:val="single" w:sz="2" w:space="0" w:color="000000"/>
              <w:bottom w:val="single" w:sz="2" w:space="0" w:color="000000"/>
            </w:tcBorders>
            <w:vAlign w:val="center"/>
          </w:tcPr>
          <w:p>
            <w:pPr>
              <w:pStyle w:val="TableContents"/>
              <w:widowControl w:val="false"/>
              <w:suppressLineNumbers/>
              <w:spacing w:before="240" w:after="240"/>
              <w:rPr/>
            </w:pPr>
            <w:r>
              <w:rPr>
                <w:rStyle w:val="StrongEmphasis"/>
                <w:rFonts w:eastAsia="Calibri" w:cs="DejaVu Sans"/>
                <w:color w:val="014276"/>
                <w:kern w:val="0"/>
                <w:sz w:val="24"/>
                <w:szCs w:val="32"/>
                <w:lang w:val="fr-FR" w:eastAsia="en-US" w:bidi="ar-SA"/>
              </w:rPr>
              <w:t>180d</w:t>
            </w:r>
          </w:p>
        </w:tc>
        <w:tc>
          <w:tcPr>
            <w:tcW w:w="3901" w:type="dxa"/>
            <w:tcBorders>
              <w:left w:val="single" w:sz="2" w:space="0" w:color="000000"/>
              <w:bottom w:val="single" w:sz="2" w:space="0" w:color="000000"/>
            </w:tcBorders>
            <w:vAlign w:val="center"/>
          </w:tcPr>
          <w:p>
            <w:pPr>
              <w:pStyle w:val="TableContents"/>
              <w:widowControl w:val="false"/>
              <w:suppressLineNumbers/>
              <w:spacing w:before="240" w:after="240"/>
              <w:rPr/>
            </w:pPr>
            <w:r>
              <w:rPr/>
              <w:t>Supprime les sauvegardes datant de plus de 180 jours</w:t>
            </w:r>
          </w:p>
        </w:tc>
        <w:tc>
          <w:tcPr>
            <w:tcW w:w="4056" w:type="dxa"/>
            <w:tcBorders>
              <w:left w:val="single" w:sz="2" w:space="0" w:color="000000"/>
              <w:bottom w:val="single" w:sz="2" w:space="0" w:color="000000"/>
              <w:right w:val="single" w:sz="2" w:space="0" w:color="000000"/>
            </w:tcBorders>
            <w:vAlign w:val="center"/>
          </w:tcPr>
          <w:p>
            <w:pPr>
              <w:pStyle w:val="TableContents"/>
              <w:widowControl w:val="false"/>
              <w:suppressLineNumbers/>
              <w:spacing w:before="240" w:after="240"/>
              <w:rPr/>
            </w:pPr>
            <w:r>
              <w:rPr/>
              <w:t>Données sensibles avec obligations légales prolongées</w:t>
            </w:r>
          </w:p>
        </w:tc>
      </w:tr>
    </w:tbl>
    <w:p>
      <w:pPr>
        <w:pStyle w:val="TextBody"/>
        <w:rPr>
          <w:rStyle w:val="StrongEmphasis"/>
          <w:rFonts w:ascii="Times New Roman" w:hAnsi="Times New Roman" w:eastAsia="Calibri" w:cs="DejaVu Sans"/>
          <w:color w:val="014276"/>
          <w:kern w:val="0"/>
          <w:sz w:val="24"/>
          <w:szCs w:val="32"/>
          <w:lang w:val="fr-FR" w:eastAsia="en-US" w:bidi="ar-SA"/>
        </w:rPr>
      </w:pPr>
      <w:r>
        <w:rPr>
          <w:rFonts w:eastAsia="Calibri" w:cs="DejaVu Sans"/>
          <w:color w:val="014276"/>
          <w:kern w:val="0"/>
          <w:sz w:val="24"/>
          <w:szCs w:val="32"/>
          <w:lang w:val="fr-FR" w:eastAsia="en-US" w:bidi="ar-SA"/>
        </w:rPr>
      </w:r>
    </w:p>
    <w:p>
      <w:pPr>
        <w:pStyle w:val="TextBody"/>
        <w:rPr/>
      </w:pPr>
      <w:r>
        <w:rPr>
          <w:rStyle w:val="StrongEmphasis"/>
          <w:rFonts w:eastAsia="Calibri" w:cs="DejaVu Sans"/>
          <w:color w:val="014276"/>
          <w:kern w:val="0"/>
          <w:sz w:val="24"/>
          <w:szCs w:val="32"/>
          <w:lang w:val="fr-FR" w:eastAsia="en-US" w:bidi="ar-SA"/>
        </w:rPr>
        <w:t>Exemples concrets de scripts de nettoyage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Supprime les sauvegardes applicatives WordPress de plus de 48 heures</w:t>
            </w:r>
          </w:p>
          <w:p>
            <w:pPr>
              <w:pStyle w:val="PreformattedText"/>
              <w:widowControl w:val="false"/>
              <w:rPr/>
            </w:pPr>
            <w:r>
              <w:rPr>
                <w:rStyle w:val="SourceText"/>
              </w:rPr>
              <w:t>cleanup_app_srv-prod-web-01_wordpress_48h.sh</w:t>
            </w:r>
          </w:p>
          <w:p>
            <w:pPr>
              <w:pStyle w:val="PreformattedText"/>
              <w:widowControl w:val="false"/>
              <w:rPr/>
            </w:pPr>
            <w:r>
              <w:rPr/>
            </w:r>
          </w:p>
          <w:p>
            <w:pPr>
              <w:pStyle w:val="PreformattedText"/>
              <w:widowControl w:val="false"/>
              <w:rPr/>
            </w:pPr>
            <w:r>
              <w:rPr>
                <w:rStyle w:val="SourceText"/>
              </w:rPr>
              <w:t># Supprime les sauvegardes de la base CRM de plus de 7 jours</w:t>
            </w:r>
          </w:p>
          <w:p>
            <w:pPr>
              <w:pStyle w:val="PreformattedText"/>
              <w:widowControl w:val="false"/>
              <w:rPr/>
            </w:pPr>
            <w:r>
              <w:rPr>
                <w:rStyle w:val="SourceText"/>
              </w:rPr>
              <w:t>cleanup_db_srv-prod-db-01_crm-clients_7d.sh</w:t>
            </w:r>
          </w:p>
          <w:p>
            <w:pPr>
              <w:pStyle w:val="PreformattedText"/>
              <w:widowControl w:val="false"/>
              <w:rPr/>
            </w:pPr>
            <w:r>
              <w:rPr/>
            </w:r>
          </w:p>
          <w:p>
            <w:pPr>
              <w:pStyle w:val="PreformattedText"/>
              <w:widowControl w:val="false"/>
              <w:rPr/>
            </w:pPr>
            <w:r>
              <w:rPr>
                <w:rStyle w:val="SourceText"/>
              </w:rPr>
              <w:t># Supprime les sauvegardes complètes de plus de 30 jours</w:t>
            </w:r>
          </w:p>
          <w:p>
            <w:pPr>
              <w:pStyle w:val="PreformattedText"/>
              <w:widowControl w:val="false"/>
              <w:rPr/>
            </w:pPr>
            <w:r>
              <w:rPr>
                <w:rStyle w:val="SourceText"/>
              </w:rPr>
              <w:t>cleanup_full_srv-prod-web-01_30d.sh</w:t>
            </w:r>
          </w:p>
          <w:p>
            <w:pPr>
              <w:pStyle w:val="PreformattedText"/>
              <w:widowControl w:val="false"/>
              <w:rPr/>
            </w:pPr>
            <w:r>
              <w:rPr/>
            </w:r>
          </w:p>
          <w:p>
            <w:pPr>
              <w:pStyle w:val="PreformattedText"/>
              <w:widowControl w:val="false"/>
              <w:rPr/>
            </w:pPr>
            <w:r>
              <w:rPr>
                <w:rStyle w:val="SourceText"/>
              </w:rPr>
              <w:t># Supprime tous les types de sauvegardes du serveur de plus de 90 jours</w:t>
            </w:r>
          </w:p>
          <w:p>
            <w:pPr>
              <w:pStyle w:val="PreformattedText"/>
              <w:widowControl w:val="false"/>
              <w:spacing w:before="240" w:after="283"/>
              <w:rPr/>
            </w:pPr>
            <w:r>
              <w:rPr>
                <w:rStyle w:val="SourceText"/>
              </w:rPr>
              <w:t>cleanup_all_srv-prod-db-01_90d.sh</w:t>
            </w:r>
          </w:p>
        </w:tc>
      </w:tr>
    </w:tbl>
    <w:p>
      <w:pPr>
        <w:pStyle w:val="TextBody"/>
        <w:rPr>
          <w:rStyle w:val="StrongEmphasis"/>
        </w:rPr>
      </w:pPr>
      <w:r>
        <w:rPr/>
      </w:r>
    </w:p>
    <w:p>
      <w:pPr>
        <w:pStyle w:val="TextBody"/>
        <w:rPr/>
      </w:pPr>
      <w:r>
        <w:rPr>
          <w:rStyle w:val="StrongEmphasis"/>
          <w:rFonts w:eastAsia="Calibri" w:cs="DejaVu Sans"/>
          <w:color w:val="014276"/>
          <w:kern w:val="0"/>
          <w:sz w:val="24"/>
          <w:szCs w:val="32"/>
          <w:lang w:val="fr-FR" w:eastAsia="en-US" w:bidi="ar-SA"/>
        </w:rPr>
        <w:t>Structure d'en-tête obligatoire pour chaque script de nettoyage :</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#!/bin/bash</w:t>
            </w:r>
          </w:p>
          <w:p>
            <w:pPr>
              <w:pStyle w:val="PreformattedText"/>
              <w:widowControl w:val="false"/>
              <w:rPr/>
            </w:pPr>
            <w:r>
              <w:rPr>
                <w:rStyle w:val="SourceText"/>
              </w:rPr>
              <w:t>#</w:t>
            </w:r>
          </w:p>
          <w:p>
            <w:pPr>
              <w:pStyle w:val="PreformattedText"/>
              <w:widowControl w:val="false"/>
              <w:rPr/>
            </w:pPr>
            <w:r>
              <w:rPr>
                <w:rStyle w:val="SourceText"/>
              </w:rPr>
              <w:t># Nom : cleanup_db_srv-prod-db-01_crm-clients_48h.sh</w:t>
            </w:r>
          </w:p>
          <w:p>
            <w:pPr>
              <w:pStyle w:val="PreformattedText"/>
              <w:widowControl w:val="false"/>
              <w:rPr/>
            </w:pPr>
            <w:r>
              <w:rPr>
                <w:rStyle w:val="SourceText"/>
              </w:rPr>
              <w:t># Description : Suppression automatique des sauvegardes MySQL CRM de plus de 48h</w:t>
            </w:r>
          </w:p>
          <w:p>
            <w:pPr>
              <w:pStyle w:val="PreformattedText"/>
              <w:widowControl w:val="false"/>
              <w:rPr/>
            </w:pPr>
            <w:r>
              <w:rPr>
                <w:rStyle w:val="SourceText"/>
              </w:rPr>
              <w:t># Serveur concerné : srv-prod-db-01</w:t>
            </w:r>
          </w:p>
          <w:p>
            <w:pPr>
              <w:pStyle w:val="PreformattedText"/>
              <w:widowControl w:val="false"/>
              <w:rPr/>
            </w:pPr>
            <w:r>
              <w:rPr>
                <w:rStyle w:val="SourceText"/>
              </w:rPr>
              <w:t># Politique de rétention : 48 heures</w:t>
            </w:r>
          </w:p>
          <w:p>
            <w:pPr>
              <w:pStyle w:val="PreformattedText"/>
              <w:widowControl w:val="false"/>
              <w:rPr/>
            </w:pPr>
            <w:r>
              <w:rPr>
                <w:rStyle w:val="SourceText"/>
              </w:rPr>
              <w:t># Pattern de fichiers : db_srv-prod-db-01_crm-clients_*.sql.gz*</w:t>
            </w:r>
          </w:p>
          <w:p>
            <w:pPr>
              <w:pStyle w:val="PreformattedText"/>
              <w:widowControl w:val="false"/>
              <w:rPr/>
            </w:pPr>
            <w:r>
              <w:rPr>
                <w:rStyle w:val="SourceText"/>
              </w:rPr>
              <w:t># Fréquence d'exécution : Quotidienne après la sauvegarde (décalage de 5 minutes)</w:t>
            </w:r>
          </w:p>
          <w:p>
            <w:pPr>
              <w:pStyle w:val="PreformattedText"/>
              <w:widowControl w:val="false"/>
              <w:rPr/>
            </w:pPr>
            <w:r>
              <w:rPr>
                <w:rStyle w:val="SourceText"/>
              </w:rPr>
              <w:t># Auteur : [Votre Nom]</w:t>
            </w:r>
          </w:p>
          <w:p>
            <w:pPr>
              <w:pStyle w:val="PreformattedText"/>
              <w:widowControl w:val="false"/>
              <w:rPr/>
            </w:pPr>
            <w:r>
              <w:rPr>
                <w:rStyle w:val="SourceText"/>
              </w:rPr>
              <w:t># Date de création : 28/01/2026</w:t>
            </w:r>
          </w:p>
          <w:p>
            <w:pPr>
              <w:pStyle w:val="PreformattedText"/>
              <w:widowControl w:val="false"/>
              <w:rPr/>
            </w:pPr>
            <w:r>
              <w:rPr>
                <w:rStyle w:val="SourceText"/>
              </w:rPr>
              <w:t># Version : 1.0</w:t>
            </w:r>
          </w:p>
          <w:p>
            <w:pPr>
              <w:pStyle w:val="PreformattedText"/>
              <w:widowControl w:val="false"/>
              <w:spacing w:before="240" w:after="283"/>
              <w:rPr/>
            </w:pPr>
            <w:r>
              <w:rPr>
                <w:rStyle w:val="SourceText"/>
              </w:rPr>
              <w:t>#</w:t>
            </w:r>
          </w:p>
        </w:tc>
      </w:tr>
    </w:tbl>
    <w:p>
      <w:pPr>
        <w:pStyle w:val="TextBody"/>
        <w:rPr>
          <w:rStyle w:val="SourceText"/>
        </w:rPr>
      </w:pPr>
      <w:r>
        <w:rPr/>
      </w:r>
    </w:p>
    <w:p>
      <w:pPr>
        <w:pStyle w:val="Heading1"/>
        <w:ind w:left="0" w:hanging="0"/>
        <w:rPr/>
      </w:pPr>
      <w:bookmarkStart w:id="19" w:name="__RefHeading___Toc5439_2150708505"/>
      <w:bookmarkEnd w:id="19"/>
      <w:r>
        <w:rPr/>
        <w:t>STRUCTURE DES RÉPERTOIRES</w:t>
      </w:r>
    </w:p>
    <w:p>
      <w:pPr>
        <w:pStyle w:val="Heading2"/>
        <w:ind w:left="0" w:hanging="0"/>
        <w:rPr/>
      </w:pPr>
      <w:bookmarkStart w:id="20" w:name="__RefHeading___Toc5441_2150708505"/>
      <w:bookmarkEnd w:id="20"/>
      <w:r>
        <w:rPr/>
        <w:t>Arborescence standard recommandée</w:t>
      </w:r>
    </w:p>
    <w:p>
      <w:pPr>
        <w:pStyle w:val="TextBody"/>
        <w:rPr/>
      </w:pPr>
      <w:r>
        <w:rPr/>
        <w:t>L'organisation des répertoires doit suivre une structure logique et cohérente pour faciliter la navigation et l'automatisation.</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/backup/</w:t>
            </w:r>
          </w:p>
          <w:p>
            <w:pPr>
              <w:pStyle w:val="PreformattedText"/>
              <w:widowControl w:val="false"/>
              <w:rPr/>
            </w:pPr>
            <w:r>
              <w:rPr>
                <w:rStyle w:val="SourceText"/>
              </w:rPr>
              <w:t xml:space="preserve">├── </w:t>
            </w:r>
            <w:r>
              <w:rPr>
                <w:rStyle w:val="SourceText"/>
              </w:rPr>
              <w:t>srv-prod-web-01/                          # Répertoire du serveur web de production 01</w:t>
            </w:r>
          </w:p>
          <w:p>
            <w:pPr>
              <w:pStyle w:val="PreformattedText"/>
              <w:widowControl w:val="false"/>
              <w:rPr/>
            </w:pPr>
            <w:r>
              <w:rPr>
                <w:rStyle w:val="SourceText"/>
              </w:rPr>
              <w:t xml:space="preserve">│   ├── </w:t>
            </w:r>
            <w:r>
              <w:rPr>
                <w:rStyle w:val="SourceText"/>
              </w:rPr>
              <w:t>app/                                   # Stockage des sauvegardes d'applications</w:t>
            </w:r>
          </w:p>
          <w:p>
            <w:pPr>
              <w:pStyle w:val="PreformattedText"/>
              <w:widowControl w:val="false"/>
              <w:rPr/>
            </w:pPr>
            <w:r>
              <w:rPr>
                <w:rStyle w:val="SourceText"/>
              </w:rPr>
              <w:t xml:space="preserve">│   ├── </w:t>
            </w:r>
            <w:r>
              <w:rPr>
                <w:rStyle w:val="SourceText"/>
              </w:rPr>
              <w:t>db/                                    # Stockage des sauvegardes de bases de données</w:t>
            </w:r>
          </w:p>
          <w:p>
            <w:pPr>
              <w:pStyle w:val="PreformattedText"/>
              <w:widowControl w:val="false"/>
              <w:rPr/>
            </w:pPr>
            <w:r>
              <w:rPr>
                <w:rStyle w:val="SourceText"/>
              </w:rPr>
              <w:t xml:space="preserve">│   ├── </w:t>
            </w:r>
            <w:r>
              <w:rPr>
                <w:rStyle w:val="SourceText"/>
              </w:rPr>
              <w:t>full/                                  # Stockage des sauvegardes complètes</w:t>
            </w:r>
          </w:p>
          <w:p>
            <w:pPr>
              <w:pStyle w:val="PreformattedText"/>
              <w:widowControl w:val="false"/>
              <w:rPr/>
            </w:pPr>
            <w:r>
              <w:rPr>
                <w:rStyle w:val="SourceText"/>
              </w:rPr>
              <w:t xml:space="preserve">│   ├── </w:t>
            </w:r>
            <w:r>
              <w:rPr>
                <w:rStyle w:val="SourceText"/>
              </w:rPr>
              <w:t>incr/                                  # Stockage des sauvegardes incrémentielles</w:t>
            </w:r>
          </w:p>
          <w:p>
            <w:pPr>
              <w:pStyle w:val="PreformattedText"/>
              <w:widowControl w:val="false"/>
              <w:rPr/>
            </w:pPr>
            <w:r>
              <w:rPr>
                <w:rStyle w:val="SourceText"/>
              </w:rPr>
              <w:t xml:space="preserve">│   └── </w:t>
            </w:r>
            <w:r>
              <w:rPr>
                <w:rStyle w:val="SourceText"/>
              </w:rPr>
              <w:t>scripts/                               # Stockage des scripts de sauvegarde et nettoyage</w:t>
            </w:r>
          </w:p>
          <w:p>
            <w:pPr>
              <w:pStyle w:val="PreformattedText"/>
              <w:widowControl w:val="false"/>
              <w:rPr/>
            </w:pPr>
            <w:r>
              <w:rPr>
                <w:rStyle w:val="SourceText"/>
              </w:rPr>
              <w:t xml:space="preserve">│       ├── </w:t>
            </w:r>
            <w:r>
              <w:rPr>
                <w:rStyle w:val="SourceText"/>
              </w:rPr>
              <w:t>backup_app_srv-prod-web-01_wordpress.sh</w:t>
            </w:r>
          </w:p>
          <w:p>
            <w:pPr>
              <w:pStyle w:val="PreformattedText"/>
              <w:widowControl w:val="false"/>
              <w:rPr/>
            </w:pPr>
            <w:r>
              <w:rPr>
                <w:rStyle w:val="SourceText"/>
              </w:rPr>
              <w:t xml:space="preserve">│       ├── </w:t>
            </w:r>
            <w:r>
              <w:rPr>
                <w:rStyle w:val="SourceText"/>
              </w:rPr>
              <w:t>cleanup_app_srv-prod-web-01_wordpress_48h.sh</w:t>
            </w:r>
          </w:p>
          <w:p>
            <w:pPr>
              <w:pStyle w:val="PreformattedText"/>
              <w:widowControl w:val="false"/>
              <w:rPr/>
            </w:pPr>
            <w:r>
              <w:rPr>
                <w:rStyle w:val="SourceText"/>
              </w:rPr>
              <w:t xml:space="preserve">│       └── </w:t>
            </w:r>
            <w:r>
              <w:rPr>
                <w:rStyle w:val="SourceText"/>
              </w:rPr>
              <w:t>logs/                              # Journaux d'exécution des scripts</w:t>
            </w:r>
          </w:p>
          <w:p>
            <w:pPr>
              <w:pStyle w:val="PreformattedText"/>
              <w:widowControl w:val="false"/>
              <w:rPr/>
            </w:pPr>
            <w:r>
              <w:rPr>
                <w:rStyle w:val="SourceText"/>
              </w:rPr>
              <w:t>│</w:t>
            </w:r>
          </w:p>
          <w:p>
            <w:pPr>
              <w:pStyle w:val="PreformattedText"/>
              <w:widowControl w:val="false"/>
              <w:rPr/>
            </w:pPr>
            <w:r>
              <w:rPr>
                <w:rStyle w:val="SourceText"/>
              </w:rPr>
              <w:t xml:space="preserve">├── </w:t>
            </w:r>
            <w:r>
              <w:rPr>
                <w:rStyle w:val="SourceText"/>
              </w:rPr>
              <w:t>srv-prod-db-01/                           # Répertoire du serveur de base de données de production 01</w:t>
            </w:r>
          </w:p>
          <w:p>
            <w:pPr>
              <w:pStyle w:val="PreformattedText"/>
              <w:widowControl w:val="false"/>
              <w:rPr/>
            </w:pPr>
            <w:r>
              <w:rPr>
                <w:rStyle w:val="SourceText"/>
              </w:rPr>
              <w:t xml:space="preserve">│   ├── </w:t>
            </w:r>
            <w:r>
              <w:rPr>
                <w:rStyle w:val="SourceText"/>
              </w:rPr>
              <w:t>app/                                   # Sauvegardes applicatives (si applicable)</w:t>
            </w:r>
          </w:p>
          <w:p>
            <w:pPr>
              <w:pStyle w:val="PreformattedText"/>
              <w:widowControl w:val="false"/>
              <w:rPr/>
            </w:pPr>
            <w:r>
              <w:rPr>
                <w:rStyle w:val="SourceText"/>
              </w:rPr>
              <w:t xml:space="preserve">│   ├── </w:t>
            </w:r>
            <w:r>
              <w:rPr>
                <w:rStyle w:val="SourceText"/>
              </w:rPr>
              <w:t>db/                                    # Sauvegardes des bases de données</w:t>
            </w:r>
          </w:p>
          <w:p>
            <w:pPr>
              <w:pStyle w:val="PreformattedText"/>
              <w:widowControl w:val="false"/>
              <w:rPr/>
            </w:pPr>
            <w:r>
              <w:rPr>
                <w:rStyle w:val="SourceText"/>
              </w:rPr>
              <w:t xml:space="preserve">│   │   ├── </w:t>
            </w:r>
            <w:r>
              <w:rPr>
                <w:rStyle w:val="SourceText"/>
              </w:rPr>
              <w:t>db_srv-prod-db-01_crm-clients_20260128_0300.sql.gz.enc</w:t>
            </w:r>
          </w:p>
          <w:p>
            <w:pPr>
              <w:pStyle w:val="PreformattedText"/>
              <w:widowControl w:val="false"/>
              <w:rPr/>
            </w:pPr>
            <w:r>
              <w:rPr>
                <w:rStyle w:val="SourceText"/>
              </w:rPr>
              <w:t xml:space="preserve">│   │   ├── </w:t>
            </w:r>
            <w:r>
              <w:rPr>
                <w:rStyle w:val="SourceText"/>
              </w:rPr>
              <w:t>db_srv-prod-db-01_crm-clients_20260127_0300.sql.gz.enc</w:t>
            </w:r>
          </w:p>
          <w:p>
            <w:pPr>
              <w:pStyle w:val="PreformattedText"/>
              <w:widowControl w:val="false"/>
              <w:rPr/>
            </w:pPr>
            <w:r>
              <w:rPr>
                <w:rStyle w:val="SourceText"/>
              </w:rPr>
              <w:t xml:space="preserve">│   │   └── </w:t>
            </w:r>
            <w:r>
              <w:rPr>
                <w:rStyle w:val="SourceText"/>
              </w:rPr>
              <w:t>db_srv-prod-db-01_crm-clients_20260126_0300.sql.gz.enc</w:t>
            </w:r>
          </w:p>
          <w:p>
            <w:pPr>
              <w:pStyle w:val="PreformattedText"/>
              <w:widowControl w:val="false"/>
              <w:rPr/>
            </w:pPr>
            <w:r>
              <w:rPr>
                <w:rStyle w:val="SourceText"/>
              </w:rPr>
              <w:t xml:space="preserve">│   ├── </w:t>
            </w:r>
            <w:r>
              <w:rPr>
                <w:rStyle w:val="SourceText"/>
              </w:rPr>
              <w:t>full/                                  # Sauvegardes complètes du serveur</w:t>
            </w:r>
          </w:p>
          <w:p>
            <w:pPr>
              <w:pStyle w:val="PreformattedText"/>
              <w:widowControl w:val="false"/>
              <w:rPr/>
            </w:pPr>
            <w:r>
              <w:rPr>
                <w:rStyle w:val="SourceText"/>
              </w:rPr>
              <w:t xml:space="preserve">│   └── </w:t>
            </w:r>
            <w:r>
              <w:rPr>
                <w:rStyle w:val="SourceText"/>
              </w:rPr>
              <w:t>scripts/                               # Scripts de sauvegarde et nettoyage</w:t>
            </w:r>
          </w:p>
          <w:p>
            <w:pPr>
              <w:pStyle w:val="PreformattedText"/>
              <w:widowControl w:val="false"/>
              <w:rPr/>
            </w:pPr>
            <w:r>
              <w:rPr>
                <w:rStyle w:val="SourceText"/>
              </w:rPr>
              <w:t xml:space="preserve">│       ├── </w:t>
            </w:r>
            <w:r>
              <w:rPr>
                <w:rStyle w:val="SourceText"/>
              </w:rPr>
              <w:t>backup_db_srv-prod-db-01_crm-clients.sh</w:t>
            </w:r>
          </w:p>
          <w:p>
            <w:pPr>
              <w:pStyle w:val="PreformattedText"/>
              <w:widowControl w:val="false"/>
              <w:rPr/>
            </w:pPr>
            <w:r>
              <w:rPr>
                <w:rStyle w:val="SourceText"/>
              </w:rPr>
              <w:t xml:space="preserve">│       ├── </w:t>
            </w:r>
            <w:r>
              <w:rPr>
                <w:rStyle w:val="SourceText"/>
              </w:rPr>
              <w:t>cleanup_db_srv-prod-db-01_crm-clients_48h.sh</w:t>
            </w:r>
          </w:p>
          <w:p>
            <w:pPr>
              <w:pStyle w:val="PreformattedText"/>
              <w:widowControl w:val="false"/>
              <w:rPr/>
            </w:pPr>
            <w:r>
              <w:rPr>
                <w:rStyle w:val="SourceText"/>
              </w:rPr>
              <w:t xml:space="preserve">│       └── </w:t>
            </w:r>
            <w:r>
              <w:rPr>
                <w:rStyle w:val="SourceText"/>
              </w:rPr>
              <w:t>logs/                              # Logs d'exécution</w:t>
            </w:r>
          </w:p>
          <w:p>
            <w:pPr>
              <w:pStyle w:val="PreformattedText"/>
              <w:widowControl w:val="false"/>
              <w:rPr/>
            </w:pPr>
            <w:r>
              <w:rPr>
                <w:rStyle w:val="SourceText"/>
              </w:rPr>
              <w:t xml:space="preserve">│           ├── </w:t>
            </w:r>
            <w:r>
              <w:rPr>
                <w:rStyle w:val="SourceText"/>
              </w:rPr>
              <w:t>backup_db_crm_20260128.log</w:t>
            </w:r>
          </w:p>
          <w:p>
            <w:pPr>
              <w:pStyle w:val="PreformattedText"/>
              <w:widowControl w:val="false"/>
              <w:rPr/>
            </w:pPr>
            <w:r>
              <w:rPr>
                <w:rStyle w:val="SourceText"/>
              </w:rPr>
              <w:t xml:space="preserve">│           └── </w:t>
            </w:r>
            <w:r>
              <w:rPr>
                <w:rStyle w:val="SourceText"/>
              </w:rPr>
              <w:t>cleanup_db_crm_20260128.log</w:t>
            </w:r>
          </w:p>
          <w:p>
            <w:pPr>
              <w:pStyle w:val="PreformattedText"/>
              <w:widowControl w:val="false"/>
              <w:rPr/>
            </w:pPr>
            <w:r>
              <w:rPr>
                <w:rStyle w:val="SourceText"/>
              </w:rPr>
              <w:t>│</w:t>
            </w:r>
          </w:p>
          <w:p>
            <w:pPr>
              <w:pStyle w:val="PreformattedText"/>
              <w:widowControl w:val="false"/>
              <w:rPr/>
            </w:pPr>
            <w:r>
              <w:rPr>
                <w:rStyle w:val="SourceText"/>
              </w:rPr>
              <w:t xml:space="preserve">└── </w:t>
            </w:r>
            <w:r>
              <w:rPr>
                <w:rStyle w:val="SourceText"/>
              </w:rPr>
              <w:t>srv-preprod-app-01/                       # Répertoire du serveur applicatif de préproduction 01</w:t>
            </w:r>
          </w:p>
          <w:p>
            <w:pPr>
              <w:pStyle w:val="PreformattedText"/>
              <w:widowControl w:val="false"/>
              <w:rPr/>
            </w:pPr>
            <w:r>
              <w:rPr>
                <w:rStyle w:val="SourceText"/>
              </w:rPr>
              <w:t xml:space="preserve">    ├── </w:t>
            </w:r>
            <w:r>
              <w:rPr>
                <w:rStyle w:val="SourceText"/>
              </w:rPr>
              <w:t>app/                                   # Sauvegardes applicatives</w:t>
            </w:r>
          </w:p>
          <w:p>
            <w:pPr>
              <w:pStyle w:val="PreformattedText"/>
              <w:widowControl w:val="false"/>
              <w:rPr/>
            </w:pPr>
            <w:r>
              <w:rPr>
                <w:rStyle w:val="SourceText"/>
              </w:rPr>
              <w:t xml:space="preserve">    ├── </w:t>
            </w:r>
            <w:r>
              <w:rPr>
                <w:rStyle w:val="SourceText"/>
              </w:rPr>
              <w:t>db/                                    # Sauvegardes de bases de données</w:t>
            </w:r>
          </w:p>
          <w:p>
            <w:pPr>
              <w:pStyle w:val="PreformattedText"/>
              <w:widowControl w:val="false"/>
              <w:spacing w:before="240" w:after="283"/>
              <w:rPr/>
            </w:pPr>
            <w:r>
              <w:rPr>
                <w:rStyle w:val="SourceText"/>
              </w:rPr>
              <w:t xml:space="preserve">    └── </w:t>
            </w:r>
            <w:r>
              <w:rPr>
                <w:rStyle w:val="SourceText"/>
              </w:rPr>
              <w:t>scripts/                               # Scripts de sauvegarde et nettoyage</w:t>
            </w:r>
          </w:p>
        </w:tc>
      </w:tr>
    </w:tbl>
    <w:p>
      <w:pPr>
        <w:pStyle w:val="TextBody"/>
        <w:rPr>
          <w:rStyle w:val="SourceText"/>
        </w:rPr>
      </w:pPr>
      <w:r>
        <w:rPr/>
      </w:r>
    </w:p>
    <w:p>
      <w:pPr>
        <w:pStyle w:val="Heading2"/>
        <w:ind w:left="0" w:hanging="0"/>
        <w:rPr/>
      </w:pPr>
      <w:bookmarkStart w:id="21" w:name="__RefHeading___Toc5443_2150708505"/>
      <w:bookmarkEnd w:id="21"/>
      <w:r>
        <w:rPr/>
        <w:t>Permissions de sécurité recommandées</w:t>
      </w:r>
    </w:p>
    <w:p>
      <w:pPr>
        <w:pStyle w:val="TextBody"/>
        <w:rPr/>
      </w:pPr>
      <w:r>
        <w:rPr/>
        <w:t>La sécurité des sauvegardes est primordiale. Les permissions Unix doivent être strictement configurées pour empêcher tout accès non autorisé.</w:t>
      </w:r>
    </w:p>
    <w:tbl>
      <w:tblPr>
        <w:tblW w:w="5000" w:type="pct"/>
        <w:jc w:val="left"/>
        <w:tblInd w:w="-5" w:type="dxa"/>
        <w:tblLayout w:type="fixed"/>
        <w:tblCellMar>
          <w:top w:w="55" w:type="dxa"/>
          <w:left w:w="55" w:type="dxa"/>
          <w:bottom w:w="55" w:type="dxa"/>
          <w:right w:w="55" w:type="dxa"/>
        </w:tblCellMar>
      </w:tblPr>
      <w:tblGrid>
        <w:gridCol w:w="9072"/>
      </w:tblGrid>
      <w:tr>
        <w:trPr/>
        <w:tc>
          <w:tcPr>
            <w:tcW w:w="9072" w:type="dxa"/>
            <w:tcBorders>
              <w:top w:val="single" w:sz="4" w:space="0" w:color="000000"/>
              <w:left w:val="single" w:sz="4" w:space="0" w:color="000000"/>
              <w:bottom w:val="single" w:sz="4" w:space="0" w:color="000000"/>
              <w:right w:val="single" w:sz="4" w:space="0" w:color="000000"/>
            </w:tcBorders>
          </w:tcPr>
          <w:p>
            <w:pPr>
              <w:pStyle w:val="PreformattedText"/>
              <w:widowControl w:val="false"/>
              <w:spacing w:before="240" w:after="0"/>
              <w:rPr/>
            </w:pPr>
            <w:r>
              <w:rPr>
                <w:rStyle w:val="SourceText"/>
              </w:rPr>
              <w:t># Configuration des permissions pour les répertoires de sauvegarde</w:t>
            </w:r>
          </w:p>
          <w:p>
            <w:pPr>
              <w:pStyle w:val="PreformattedText"/>
              <w:widowControl w:val="false"/>
              <w:rPr/>
            </w:pPr>
            <w:r>
              <w:rPr>
                <w:rStyle w:val="SourceText"/>
              </w:rPr>
              <w:t># Répertoire racine : accessible uniquement par root</w:t>
            </w:r>
          </w:p>
          <w:p>
            <w:pPr>
              <w:pStyle w:val="PreformattedText"/>
              <w:widowControl w:val="false"/>
              <w:rPr/>
            </w:pPr>
            <w:r>
              <w:rPr>
                <w:rStyle w:val="SourceText"/>
              </w:rPr>
              <w:t>chmod 700 /backup</w:t>
            </w:r>
          </w:p>
          <w:p>
            <w:pPr>
              <w:pStyle w:val="PreformattedText"/>
              <w:widowControl w:val="false"/>
              <w:rPr/>
            </w:pPr>
            <w:r>
              <w:rPr>
                <w:rStyle w:val="SourceText"/>
              </w:rPr>
              <w:t>chmod 700 /backup/srv-*/</w:t>
            </w:r>
          </w:p>
          <w:p>
            <w:pPr>
              <w:pStyle w:val="PreformattedText"/>
              <w:widowControl w:val="false"/>
              <w:rPr/>
            </w:pPr>
            <w:r>
              <w:rPr>
                <w:rStyle w:val="SourceText"/>
              </w:rPr>
              <w:t>chmod 700 /backup/srv-*/app</w:t>
            </w:r>
          </w:p>
          <w:p>
            <w:pPr>
              <w:pStyle w:val="PreformattedText"/>
              <w:widowControl w:val="false"/>
              <w:rPr/>
            </w:pPr>
            <w:r>
              <w:rPr>
                <w:rStyle w:val="SourceText"/>
              </w:rPr>
              <w:t>chmod 700 /backup/srv-*/db</w:t>
            </w:r>
          </w:p>
          <w:p>
            <w:pPr>
              <w:pStyle w:val="PreformattedText"/>
              <w:widowControl w:val="false"/>
              <w:rPr/>
            </w:pPr>
            <w:r>
              <w:rPr/>
            </w:r>
          </w:p>
          <w:p>
            <w:pPr>
              <w:pStyle w:val="PreformattedText"/>
              <w:widowControl w:val="false"/>
              <w:rPr/>
            </w:pPr>
            <w:r>
              <w:rPr>
                <w:rStyle w:val="SourceText"/>
              </w:rPr>
              <w:t># Configuration des permissions pour les fichiers de sauvegarde</w:t>
            </w:r>
          </w:p>
          <w:p>
            <w:pPr>
              <w:pStyle w:val="PreformattedText"/>
              <w:widowControl w:val="false"/>
              <w:rPr/>
            </w:pPr>
            <w:r>
              <w:rPr>
                <w:rStyle w:val="SourceText"/>
              </w:rPr>
              <w:t># Lecture/écriture uniquement pour le propriétaire</w:t>
            </w:r>
          </w:p>
          <w:p>
            <w:pPr>
              <w:pStyle w:val="PreformattedText"/>
              <w:widowControl w:val="false"/>
              <w:rPr/>
            </w:pPr>
            <w:r>
              <w:rPr>
                <w:rStyle w:val="SourceText"/>
              </w:rPr>
              <w:t>chmod 600 /backup/srv-*/app/*.tar.gz*</w:t>
            </w:r>
          </w:p>
          <w:p>
            <w:pPr>
              <w:pStyle w:val="PreformattedText"/>
              <w:widowControl w:val="false"/>
              <w:rPr/>
            </w:pPr>
            <w:r>
              <w:rPr>
                <w:rStyle w:val="SourceText"/>
              </w:rPr>
              <w:t>chmod 600 /backup/srv-*/db/*.sql.gz*</w:t>
            </w:r>
          </w:p>
          <w:p>
            <w:pPr>
              <w:pStyle w:val="PreformattedText"/>
              <w:widowControl w:val="false"/>
              <w:rPr/>
            </w:pPr>
            <w:r>
              <w:rPr/>
            </w:r>
          </w:p>
          <w:p>
            <w:pPr>
              <w:pStyle w:val="PreformattedText"/>
              <w:widowControl w:val="false"/>
              <w:rPr/>
            </w:pPr>
            <w:r>
              <w:rPr>
                <w:rStyle w:val="SourceText"/>
              </w:rPr>
              <w:t># Configuration des permissions pour les scripts</w:t>
            </w:r>
          </w:p>
          <w:p>
            <w:pPr>
              <w:pStyle w:val="PreformattedText"/>
              <w:widowControl w:val="false"/>
              <w:rPr/>
            </w:pPr>
            <w:r>
              <w:rPr>
                <w:rStyle w:val="SourceText"/>
              </w:rPr>
              <w:t># Exécution uniquement par le propriétaire pour les scripts</w:t>
            </w:r>
          </w:p>
          <w:p>
            <w:pPr>
              <w:pStyle w:val="PreformattedText"/>
              <w:widowControl w:val="false"/>
              <w:rPr/>
            </w:pPr>
            <w:r>
              <w:rPr>
                <w:rStyle w:val="SourceText"/>
              </w:rPr>
              <w:t>chmod 700 /backup/srv-*/scripts/*.sh</w:t>
            </w:r>
          </w:p>
          <w:p>
            <w:pPr>
              <w:pStyle w:val="PreformattedText"/>
              <w:widowControl w:val="false"/>
              <w:rPr/>
            </w:pPr>
            <w:r>
              <w:rPr>
                <w:rStyle w:val="SourceText"/>
              </w:rPr>
              <w:t># Lecture pour tous pour les logs (pour faciliter le monitoring)</w:t>
            </w:r>
          </w:p>
          <w:p>
            <w:pPr>
              <w:pStyle w:val="PreformattedText"/>
              <w:widowControl w:val="false"/>
              <w:rPr/>
            </w:pPr>
            <w:r>
              <w:rPr>
                <w:rStyle w:val="SourceText"/>
              </w:rPr>
              <w:t>chmod 644 /backup/srv-*/scripts/logs/*.log</w:t>
            </w:r>
          </w:p>
          <w:p>
            <w:pPr>
              <w:pStyle w:val="PreformattedText"/>
              <w:widowControl w:val="false"/>
              <w:rPr/>
            </w:pPr>
            <w:r>
              <w:rPr/>
            </w:r>
          </w:p>
          <w:p>
            <w:pPr>
              <w:pStyle w:val="PreformattedText"/>
              <w:widowControl w:val="false"/>
              <w:rPr/>
            </w:pPr>
            <w:r>
              <w:rPr>
                <w:rStyle w:val="SourceText"/>
              </w:rPr>
              <w:t># Définition du propriétaire et du groupe</w:t>
            </w:r>
          </w:p>
          <w:p>
            <w:pPr>
              <w:pStyle w:val="PreformattedText"/>
              <w:widowControl w:val="false"/>
              <w:rPr/>
            </w:pPr>
            <w:r>
              <w:rPr>
                <w:rStyle w:val="SourceText"/>
              </w:rPr>
              <w:t># Tous les fichiers appartiennent à root pour maximiser la sécurité</w:t>
            </w:r>
          </w:p>
          <w:p>
            <w:pPr>
              <w:pStyle w:val="PreformattedText"/>
              <w:widowControl w:val="false"/>
              <w:spacing w:before="240" w:after="283"/>
              <w:rPr/>
            </w:pPr>
            <w:r>
              <w:rPr>
                <w:rStyle w:val="SourceText"/>
              </w:rPr>
              <w:t>chown -R root:root /backup</w:t>
            </w:r>
          </w:p>
        </w:tc>
      </w:tr>
    </w:tbl>
    <w:p>
      <w:pPr>
        <w:pStyle w:val="TextBody"/>
        <w:rPr/>
      </w:pPr>
      <w:r>
        <w:rPr/>
      </w:r>
    </w:p>
    <w:p>
      <w:pPr>
        <w:pStyle w:val="TextBody"/>
        <w:rPr/>
      </w:pPr>
      <w:r>
        <w:rPr>
          <w:rStyle w:val="StrongEmphasis"/>
          <w:rFonts w:eastAsia="Calibri" w:cs="DejaVu Sans"/>
          <w:color w:val="014276"/>
          <w:kern w:val="0"/>
          <w:sz w:val="24"/>
          <w:szCs w:val="32"/>
          <w:lang w:val="fr-FR" w:eastAsia="en-US" w:bidi="ar-SA"/>
        </w:rPr>
        <w:t>Explications des permissions :</w:t>
      </w:r>
    </w:p>
    <w:p>
      <w:pPr>
        <w:pStyle w:val="TextBody"/>
        <w:numPr>
          <w:ilvl w:val="0"/>
          <w:numId w:val="3"/>
        </w:numPr>
        <w:tabs>
          <w:tab w:val="clear" w:pos="708"/>
          <w:tab w:val="left" w:pos="0" w:leader="none"/>
        </w:tabs>
        <w:ind w:left="709" w:hanging="283"/>
        <w:rPr/>
      </w:pPr>
      <w:r>
        <w:rPr>
          <w:rStyle w:val="SourceText"/>
        </w:rPr>
        <w:t>700</w:t>
      </w:r>
      <w:r>
        <w:rPr/>
        <w:t xml:space="preserve"> : Propriétaire = lecture + écriture + exécution, Groupe = aucun droit, Autres = aucun droit</w:t>
      </w:r>
    </w:p>
    <w:p>
      <w:pPr>
        <w:pStyle w:val="TextBody"/>
        <w:numPr>
          <w:ilvl w:val="0"/>
          <w:numId w:val="3"/>
        </w:numPr>
        <w:tabs>
          <w:tab w:val="clear" w:pos="708"/>
          <w:tab w:val="left" w:pos="0" w:leader="none"/>
        </w:tabs>
        <w:ind w:left="709" w:hanging="283"/>
        <w:rPr/>
      </w:pPr>
      <w:r>
        <w:rPr>
          <w:rStyle w:val="SourceText"/>
        </w:rPr>
        <w:t>600</w:t>
      </w:r>
      <w:r>
        <w:rPr/>
        <w:t xml:space="preserve"> : Propriétaire = lecture + écriture, Groupe = aucun droit, Autres = aucun droit</w:t>
      </w:r>
    </w:p>
    <w:p>
      <w:pPr>
        <w:pStyle w:val="TextBody"/>
        <w:numPr>
          <w:ilvl w:val="0"/>
          <w:numId w:val="3"/>
        </w:numPr>
        <w:tabs>
          <w:tab w:val="clear" w:pos="708"/>
          <w:tab w:val="left" w:pos="0" w:leader="none"/>
        </w:tabs>
        <w:ind w:left="709" w:hanging="283"/>
        <w:rPr/>
      </w:pPr>
      <w:r>
        <w:rPr>
          <w:rStyle w:val="SourceText"/>
        </w:rPr>
        <w:t>644</w:t>
      </w:r>
      <w:r>
        <w:rPr/>
        <w:t xml:space="preserve"> : Propriétaire = lecture + écriture, Groupe = lecture seule, Autres = lecture seule</w:t>
      </w:r>
    </w:p>
    <w:p>
      <w:pPr>
        <w:pStyle w:val="Heading2"/>
        <w:ind w:left="0" w:hanging="0"/>
        <w:rPr/>
      </w:pPr>
      <w:bookmarkStart w:id="22" w:name="__RefHeading___Toc5445_2150708505"/>
      <w:bookmarkEnd w:id="22"/>
      <w:r>
        <w:rPr/>
        <w:t>BONNES PRATIQUES</w:t>
      </w:r>
    </w:p>
    <w:p>
      <w:pPr>
        <w:pStyle w:val="Heading2"/>
        <w:ind w:left="0" w:hanging="0"/>
        <w:rPr/>
      </w:pPr>
      <w:bookmarkStart w:id="23" w:name="__RefHeading___Toc5447_2150708505"/>
      <w:bookmarkEnd w:id="23"/>
      <w:r>
        <w:rPr/>
        <w:t>Checklist pour la création d'un script de sauvegarde</w:t>
      </w:r>
    </w:p>
    <w:p>
      <w:pPr>
        <w:pStyle w:val="TextBody"/>
        <w:rPr/>
      </w:pPr>
      <w:r>
        <w:rPr/>
        <w:t>Avant de considérer qu'un script de sauvegarde est prêt pour la production, vérifiez les points suivants :</w:t>
      </w:r>
    </w:p>
    <w:p>
      <w:pPr>
        <w:pStyle w:val="TextBody"/>
        <w:numPr>
          <w:ilvl w:val="0"/>
          <w:numId w:val="4"/>
        </w:numPr>
        <w:tabs>
          <w:tab w:val="clear" w:pos="708"/>
          <w:tab w:val="left" w:pos="0" w:leader="none"/>
        </w:tabs>
        <w:ind w:left="709" w:hanging="283"/>
        <w:rPr/>
      </w:pPr>
      <w:r>
        <w:rPr/>
        <w:t xml:space="preserve">☐ </w:t>
      </w:r>
      <w:r>
        <w:rPr/>
        <w:t xml:space="preserve">Le nom du fichier respecte la convention : </w:t>
      </w:r>
      <w:r>
        <w:rPr>
          <w:rStyle w:val="SourceText"/>
        </w:rPr>
        <w:t>backup_[type]_[serveur]_[application].sh</w:t>
      </w:r>
    </w:p>
    <w:p>
      <w:pPr>
        <w:pStyle w:val="TextBody"/>
        <w:numPr>
          <w:ilvl w:val="0"/>
          <w:numId w:val="4"/>
        </w:numPr>
        <w:tabs>
          <w:tab w:val="clear" w:pos="708"/>
          <w:tab w:val="left" w:pos="0" w:leader="none"/>
        </w:tabs>
        <w:ind w:left="709" w:hanging="283"/>
        <w:rPr/>
      </w:pPr>
      <w:r>
        <w:rPr/>
        <w:t xml:space="preserve">☐ </w:t>
      </w:r>
      <w:r>
        <w:rPr/>
        <w:t>L'en-tête de documentation est complet (nom, description, serveur, type, chiffrement, rétention, fréquence, auteur, date, version)</w:t>
      </w:r>
    </w:p>
    <w:p>
      <w:pPr>
        <w:pStyle w:val="TextBody"/>
        <w:numPr>
          <w:ilvl w:val="0"/>
          <w:numId w:val="4"/>
        </w:numPr>
        <w:tabs>
          <w:tab w:val="clear" w:pos="708"/>
          <w:tab w:val="left" w:pos="0" w:leader="none"/>
        </w:tabs>
        <w:ind w:left="709" w:hanging="283"/>
        <w:rPr/>
      </w:pPr>
      <w:r>
        <w:rPr/>
        <w:t xml:space="preserve">☐ </w:t>
      </w:r>
      <w:r>
        <w:rPr/>
        <w:t>Les variables sont clairement définies et commentées au début du script</w:t>
      </w:r>
    </w:p>
    <w:p>
      <w:pPr>
        <w:pStyle w:val="TextBody"/>
        <w:numPr>
          <w:ilvl w:val="0"/>
          <w:numId w:val="4"/>
        </w:numPr>
        <w:tabs>
          <w:tab w:val="clear" w:pos="708"/>
          <w:tab w:val="left" w:pos="0" w:leader="none"/>
        </w:tabs>
        <w:ind w:left="709" w:hanging="283"/>
        <w:rPr/>
      </w:pPr>
      <w:r>
        <w:rPr/>
        <w:t xml:space="preserve">☐ </w:t>
      </w:r>
      <w:r>
        <w:rPr/>
        <w:t xml:space="preserve">Une fonction </w:t>
      </w:r>
      <w:r>
        <w:rPr>
          <w:rStyle w:val="SourceText"/>
        </w:rPr>
        <w:t>log()</w:t>
      </w:r>
      <w:r>
        <w:rPr/>
        <w:t xml:space="preserve"> avec timestamp est implémentée pour tracer toutes les opérations</w:t>
      </w:r>
    </w:p>
    <w:p>
      <w:pPr>
        <w:pStyle w:val="TextBody"/>
        <w:numPr>
          <w:ilvl w:val="0"/>
          <w:numId w:val="4"/>
        </w:numPr>
        <w:tabs>
          <w:tab w:val="clear" w:pos="708"/>
          <w:tab w:val="left" w:pos="0" w:leader="none"/>
        </w:tabs>
        <w:ind w:left="709" w:hanging="283"/>
        <w:rPr/>
      </w:pPr>
      <w:r>
        <w:rPr/>
        <w:t xml:space="preserve">☐ </w:t>
      </w:r>
      <w:r>
        <w:rPr/>
        <w:t>Les répertoires nécessaires sont créés automatiquement s'ils n'existent pas (</w:t>
      </w:r>
      <w:r>
        <w:rPr>
          <w:rStyle w:val="SourceText"/>
        </w:rPr>
        <w:t>mkdir -p</w:t>
      </w:r>
      <w:r>
        <w:rPr/>
        <w:t>)</w:t>
      </w:r>
    </w:p>
    <w:p>
      <w:pPr>
        <w:pStyle w:val="TextBody"/>
        <w:numPr>
          <w:ilvl w:val="0"/>
          <w:numId w:val="4"/>
        </w:numPr>
        <w:tabs>
          <w:tab w:val="clear" w:pos="708"/>
          <w:tab w:val="left" w:pos="0" w:leader="none"/>
        </w:tabs>
        <w:ind w:left="709" w:hanging="283"/>
        <w:rPr/>
      </w:pPr>
      <w:r>
        <w:rPr/>
        <w:t xml:space="preserve">☐ </w:t>
      </w:r>
      <w:r>
        <w:rPr/>
        <w:t>La gestion des erreurs est implémentée (</w:t>
      </w:r>
      <w:r>
        <w:rPr>
          <w:rStyle w:val="SourceText"/>
        </w:rPr>
        <w:t>exit 1</w:t>
      </w:r>
      <w:r>
        <w:rPr/>
        <w:t xml:space="preserve"> en cas d'échec critique)</w:t>
      </w:r>
    </w:p>
    <w:p>
      <w:pPr>
        <w:pStyle w:val="TextBody"/>
        <w:numPr>
          <w:ilvl w:val="0"/>
          <w:numId w:val="4"/>
        </w:numPr>
        <w:tabs>
          <w:tab w:val="clear" w:pos="708"/>
          <w:tab w:val="left" w:pos="0" w:leader="none"/>
        </w:tabs>
        <w:ind w:left="709" w:hanging="283"/>
        <w:rPr/>
      </w:pPr>
      <w:r>
        <w:rPr/>
        <w:t xml:space="preserve">☐ </w:t>
      </w:r>
      <w:r>
        <w:rPr/>
        <w:t>Le chiffrement est activé si le contenu inclut des données personnelles (RGPD)</w:t>
      </w:r>
    </w:p>
    <w:p>
      <w:pPr>
        <w:pStyle w:val="TextBody"/>
        <w:numPr>
          <w:ilvl w:val="0"/>
          <w:numId w:val="4"/>
        </w:numPr>
        <w:tabs>
          <w:tab w:val="clear" w:pos="708"/>
          <w:tab w:val="left" w:pos="0" w:leader="none"/>
        </w:tabs>
        <w:ind w:left="709" w:hanging="283"/>
        <w:rPr/>
      </w:pPr>
      <w:r>
        <w:rPr/>
        <w:t xml:space="preserve">☐ </w:t>
      </w:r>
      <w:r>
        <w:rPr/>
        <w:t>La taille du fichier de sauvegarde créé est vérifiée et journalisée</w:t>
      </w:r>
    </w:p>
    <w:p>
      <w:pPr>
        <w:pStyle w:val="TextBody"/>
        <w:numPr>
          <w:ilvl w:val="0"/>
          <w:numId w:val="4"/>
        </w:numPr>
        <w:tabs>
          <w:tab w:val="clear" w:pos="708"/>
          <w:tab w:val="left" w:pos="0" w:leader="none"/>
        </w:tabs>
        <w:ind w:left="709" w:hanging="283"/>
        <w:rPr/>
      </w:pPr>
      <w:r>
        <w:rPr/>
        <w:t xml:space="preserve">☐ </w:t>
      </w:r>
      <w:r>
        <w:rPr/>
        <w:t>Les permissions de sécurité sont correctement appliquées (</w:t>
      </w:r>
      <w:r>
        <w:rPr>
          <w:rStyle w:val="SourceText"/>
        </w:rPr>
        <w:t>chmod 600</w:t>
      </w:r>
      <w:r>
        <w:rPr/>
        <w:t>)</w:t>
      </w:r>
    </w:p>
    <w:p>
      <w:pPr>
        <w:pStyle w:val="TextBody"/>
        <w:numPr>
          <w:ilvl w:val="0"/>
          <w:numId w:val="4"/>
        </w:numPr>
        <w:tabs>
          <w:tab w:val="clear" w:pos="708"/>
          <w:tab w:val="left" w:pos="0" w:leader="none"/>
        </w:tabs>
        <w:ind w:left="709" w:hanging="283"/>
        <w:rPr/>
      </w:pPr>
      <w:r>
        <w:rPr/>
        <w:t xml:space="preserve">☐ </w:t>
      </w:r>
      <w:r>
        <w:rPr/>
        <w:t xml:space="preserve">Les logs sont écrits dans le répertoire </w:t>
      </w:r>
      <w:r>
        <w:rPr>
          <w:rStyle w:val="SourceText"/>
        </w:rPr>
        <w:t>/scripts/logs/</w:t>
      </w:r>
      <w:r>
        <w:rPr/>
        <w:t xml:space="preserve"> du serveur concerné</w:t>
      </w:r>
    </w:p>
    <w:p>
      <w:pPr>
        <w:pStyle w:val="TextBody"/>
        <w:numPr>
          <w:ilvl w:val="0"/>
          <w:numId w:val="4"/>
        </w:numPr>
        <w:tabs>
          <w:tab w:val="clear" w:pos="708"/>
          <w:tab w:val="left" w:pos="0" w:leader="none"/>
        </w:tabs>
        <w:ind w:left="709" w:hanging="283"/>
        <w:rPr/>
      </w:pPr>
      <w:r>
        <w:rPr/>
        <w:t xml:space="preserve">☐ </w:t>
      </w:r>
      <w:r>
        <w:rPr/>
        <w:t>Le script a été testé manuellement avec succès avant automatisation</w:t>
      </w:r>
    </w:p>
    <w:p>
      <w:pPr>
        <w:pStyle w:val="TextBody"/>
        <w:numPr>
          <w:ilvl w:val="0"/>
          <w:numId w:val="4"/>
        </w:numPr>
        <w:tabs>
          <w:tab w:val="clear" w:pos="708"/>
          <w:tab w:val="left" w:pos="0" w:leader="none"/>
        </w:tabs>
        <w:ind w:left="709" w:hanging="283"/>
        <w:rPr/>
      </w:pPr>
      <w:r>
        <w:rPr/>
        <w:t xml:space="preserve">☐ </w:t>
      </w:r>
      <w:r>
        <w:rPr/>
        <w:t>La tâche cron correspondante est configurée et active</w:t>
      </w:r>
    </w:p>
    <w:p>
      <w:pPr>
        <w:pStyle w:val="TextBody"/>
        <w:numPr>
          <w:ilvl w:val="0"/>
          <w:numId w:val="4"/>
        </w:numPr>
        <w:tabs>
          <w:tab w:val="clear" w:pos="708"/>
          <w:tab w:val="left" w:pos="0" w:leader="none"/>
        </w:tabs>
        <w:ind w:left="709" w:hanging="283"/>
        <w:rPr/>
      </w:pPr>
      <w:r>
        <w:rPr/>
        <w:t xml:space="preserve">☐ </w:t>
      </w:r>
      <w:r>
        <w:rPr/>
        <w:t>Un script de cleanup associé a été créé avec la bonne politique de rétention</w:t>
      </w:r>
    </w:p>
    <w:p>
      <w:pPr>
        <w:pStyle w:val="Heading2"/>
        <w:ind w:left="0" w:hanging="0"/>
        <w:rPr/>
      </w:pPr>
      <w:bookmarkStart w:id="24" w:name="__RefHeading___Toc5449_2150708505"/>
      <w:bookmarkEnd w:id="24"/>
      <w:r>
        <w:rPr/>
        <w:t>Checklist pour la création d'un script de nettoyage</w:t>
      </w:r>
    </w:p>
    <w:p>
      <w:pPr>
        <w:pStyle w:val="TextBody"/>
        <w:rPr/>
      </w:pPr>
      <w:r>
        <w:rPr/>
        <w:t>Avant de considérer qu'un script de nettoyage est prêt pour la production, vérifiez les points suivants :</w:t>
      </w:r>
    </w:p>
    <w:p>
      <w:pPr>
        <w:pStyle w:val="TextBody"/>
        <w:numPr>
          <w:ilvl w:val="0"/>
          <w:numId w:val="5"/>
        </w:numPr>
        <w:tabs>
          <w:tab w:val="clear" w:pos="708"/>
          <w:tab w:val="left" w:pos="0" w:leader="none"/>
        </w:tabs>
        <w:ind w:left="709" w:hanging="283"/>
        <w:rPr/>
      </w:pPr>
      <w:r>
        <w:rPr/>
        <w:t xml:space="preserve">☐ </w:t>
      </w:r>
      <w:r>
        <w:rPr/>
        <w:t xml:space="preserve">Le nom du fichier respecte la convention avec la rétention : </w:t>
      </w:r>
      <w:r>
        <w:rPr>
          <w:rStyle w:val="SourceText"/>
        </w:rPr>
        <w:t>cleanup_[type]_[serveur]_[application]_[retention].sh</w:t>
      </w:r>
    </w:p>
    <w:p>
      <w:pPr>
        <w:pStyle w:val="TextBody"/>
        <w:numPr>
          <w:ilvl w:val="0"/>
          <w:numId w:val="5"/>
        </w:numPr>
        <w:tabs>
          <w:tab w:val="clear" w:pos="708"/>
          <w:tab w:val="left" w:pos="0" w:leader="none"/>
        </w:tabs>
        <w:ind w:left="709" w:hanging="283"/>
        <w:rPr/>
      </w:pPr>
      <w:r>
        <w:rPr/>
        <w:t xml:space="preserve">☐ </w:t>
      </w:r>
      <w:r>
        <w:rPr/>
        <w:t>Le pattern de recherche des fichiers est précis et ne cible que les fichiers concernés</w:t>
      </w:r>
    </w:p>
    <w:p>
      <w:pPr>
        <w:pStyle w:val="TextBody"/>
        <w:numPr>
          <w:ilvl w:val="0"/>
          <w:numId w:val="5"/>
        </w:numPr>
        <w:tabs>
          <w:tab w:val="clear" w:pos="708"/>
          <w:tab w:val="left" w:pos="0" w:leader="none"/>
        </w:tabs>
        <w:ind w:left="709" w:hanging="283"/>
        <w:rPr/>
      </w:pPr>
      <w:r>
        <w:rPr/>
        <w:t xml:space="preserve">☐ </w:t>
      </w:r>
      <w:r>
        <w:rPr/>
        <w:t xml:space="preserve">Le calcul de l'âge des fichiers est correct (utilisation de </w:t>
      </w:r>
      <w:r>
        <w:rPr>
          <w:rStyle w:val="SourceText"/>
        </w:rPr>
        <w:t>-mmin</w:t>
      </w:r>
      <w:r>
        <w:rPr/>
        <w:t xml:space="preserve"> pour les heures : 48h = 2880 minutes)</w:t>
      </w:r>
    </w:p>
    <w:p>
      <w:pPr>
        <w:pStyle w:val="TextBody"/>
        <w:numPr>
          <w:ilvl w:val="0"/>
          <w:numId w:val="5"/>
        </w:numPr>
        <w:tabs>
          <w:tab w:val="clear" w:pos="708"/>
          <w:tab w:val="left" w:pos="0" w:leader="none"/>
        </w:tabs>
        <w:ind w:left="709" w:hanging="283"/>
        <w:rPr/>
      </w:pPr>
      <w:r>
        <w:rPr/>
        <w:t xml:space="preserve">☐ </w:t>
      </w:r>
      <w:r>
        <w:rPr/>
        <w:t>Des compteurs statistiques sont implémentés (total de fichiers, supprimés, conservés)</w:t>
      </w:r>
    </w:p>
    <w:p>
      <w:pPr>
        <w:pStyle w:val="TextBody"/>
        <w:numPr>
          <w:ilvl w:val="0"/>
          <w:numId w:val="5"/>
        </w:numPr>
        <w:tabs>
          <w:tab w:val="clear" w:pos="708"/>
          <w:tab w:val="left" w:pos="0" w:leader="none"/>
        </w:tabs>
        <w:ind w:left="709" w:hanging="283"/>
        <w:rPr/>
      </w:pPr>
      <w:r>
        <w:rPr/>
        <w:t xml:space="preserve">☐ </w:t>
      </w:r>
      <w:r>
        <w:rPr/>
        <w:t>Chaque fichier supprimé est journalisé avec son nom et sa taille</w:t>
      </w:r>
    </w:p>
    <w:p>
      <w:pPr>
        <w:pStyle w:val="TextBody"/>
        <w:numPr>
          <w:ilvl w:val="0"/>
          <w:numId w:val="5"/>
        </w:numPr>
        <w:tabs>
          <w:tab w:val="clear" w:pos="708"/>
          <w:tab w:val="left" w:pos="0" w:leader="none"/>
        </w:tabs>
        <w:ind w:left="709" w:hanging="283"/>
        <w:rPr/>
      </w:pPr>
      <w:r>
        <w:rPr/>
        <w:t xml:space="preserve">☐ </w:t>
      </w:r>
      <w:r>
        <w:rPr/>
        <w:t>La gestion des erreurs de suppression est implémentée et journalisée</w:t>
      </w:r>
    </w:p>
    <w:p>
      <w:pPr>
        <w:pStyle w:val="TextBody"/>
        <w:numPr>
          <w:ilvl w:val="0"/>
          <w:numId w:val="5"/>
        </w:numPr>
        <w:tabs>
          <w:tab w:val="clear" w:pos="708"/>
          <w:tab w:val="left" w:pos="0" w:leader="none"/>
        </w:tabs>
        <w:ind w:left="709" w:hanging="283"/>
        <w:rPr/>
      </w:pPr>
      <w:r>
        <w:rPr/>
        <w:t xml:space="preserve">☐ </w:t>
      </w:r>
      <w:r>
        <w:rPr/>
        <w:t>L'espace disque libéré est affiché dans le rapport final</w:t>
      </w:r>
    </w:p>
    <w:p>
      <w:pPr>
        <w:pStyle w:val="TextBody"/>
        <w:numPr>
          <w:ilvl w:val="0"/>
          <w:numId w:val="5"/>
        </w:numPr>
        <w:tabs>
          <w:tab w:val="clear" w:pos="708"/>
          <w:tab w:val="left" w:pos="0" w:leader="none"/>
        </w:tabs>
        <w:ind w:left="709" w:hanging="283"/>
        <w:rPr/>
      </w:pPr>
      <w:r>
        <w:rPr/>
        <w:t xml:space="preserve">☐ </w:t>
      </w:r>
      <w:r>
        <w:rPr/>
        <w:t>Le script a été testé manuellement avec succès avant automatisation</w:t>
      </w:r>
    </w:p>
    <w:p>
      <w:pPr>
        <w:pStyle w:val="TextBody"/>
        <w:numPr>
          <w:ilvl w:val="0"/>
          <w:numId w:val="5"/>
        </w:numPr>
        <w:tabs>
          <w:tab w:val="clear" w:pos="708"/>
          <w:tab w:val="left" w:pos="0" w:leader="none"/>
        </w:tabs>
        <w:ind w:left="709" w:hanging="283"/>
        <w:rPr/>
      </w:pPr>
      <w:r>
        <w:rPr/>
        <w:t xml:space="preserve">☐ </w:t>
      </w:r>
      <w:r>
        <w:rPr/>
        <w:t>La tâche cron est configurée APRÈS le script de backup (décalage de 5 minutes minimum)</w:t>
      </w:r>
    </w:p>
    <w:p>
      <w:pPr>
        <w:pStyle w:val="Heading2"/>
        <w:ind w:left="0" w:hanging="0"/>
        <w:rPr/>
      </w:pPr>
      <w:bookmarkStart w:id="25" w:name="__RefHeading___Toc5451_2150708505"/>
      <w:bookmarkEnd w:id="25"/>
      <w:r>
        <w:rPr/>
        <w:t>Vérifications régulières recommandées</w:t>
      </w:r>
    </w:p>
    <w:p>
      <w:pPr>
        <w:pStyle w:val="TextBody"/>
        <w:rPr/>
      </w:pPr>
      <w:r>
        <w:rPr>
          <w:rStyle w:val="StrongEmphasis"/>
        </w:rPr>
        <w:t>Contrôles quotidiens (automatisables) :</w:t>
      </w:r>
    </w:p>
    <w:p>
      <w:pPr>
        <w:pStyle w:val="TextBody"/>
        <w:numPr>
          <w:ilvl w:val="0"/>
          <w:numId w:val="6"/>
        </w:numPr>
        <w:tabs>
          <w:tab w:val="clear" w:pos="708"/>
          <w:tab w:val="left" w:pos="0" w:leader="none"/>
        </w:tabs>
        <w:ind w:left="709" w:hanging="283"/>
        <w:rPr/>
      </w:pPr>
      <w:r>
        <w:rPr/>
        <w:t>Vérifier les fichiers de logs pour détecter d'éventuelles erreurs</w:t>
      </w:r>
    </w:p>
    <w:p>
      <w:pPr>
        <w:pStyle w:val="TextBody"/>
        <w:numPr>
          <w:ilvl w:val="0"/>
          <w:numId w:val="6"/>
        </w:numPr>
        <w:tabs>
          <w:tab w:val="clear" w:pos="708"/>
          <w:tab w:val="left" w:pos="0" w:leader="none"/>
        </w:tabs>
        <w:ind w:left="709" w:hanging="283"/>
        <w:rPr/>
      </w:pPr>
      <w:r>
        <w:rPr/>
        <w:t>Contrôler que les sauvegardes de la veille sont bien présentes dans les répertoires</w:t>
      </w:r>
    </w:p>
    <w:p>
      <w:pPr>
        <w:pStyle w:val="TextBody"/>
        <w:numPr>
          <w:ilvl w:val="0"/>
          <w:numId w:val="6"/>
        </w:numPr>
        <w:tabs>
          <w:tab w:val="clear" w:pos="708"/>
          <w:tab w:val="left" w:pos="0" w:leader="none"/>
        </w:tabs>
        <w:ind w:left="709" w:hanging="283"/>
        <w:rPr/>
      </w:pPr>
      <w:r>
        <w:rPr/>
        <w:t>Vérifier que les scripts de cleanup ont bien supprimé les anciennes sauvegardes</w:t>
      </w:r>
    </w:p>
    <w:p>
      <w:pPr>
        <w:pStyle w:val="TextBody"/>
        <w:rPr/>
      </w:pPr>
      <w:r>
        <w:rPr>
          <w:rStyle w:val="StrongEmphasis"/>
        </w:rPr>
        <w:t>Contrôles hebdomadaires :</w:t>
      </w:r>
    </w:p>
    <w:p>
      <w:pPr>
        <w:pStyle w:val="TextBody"/>
        <w:numPr>
          <w:ilvl w:val="0"/>
          <w:numId w:val="7"/>
        </w:numPr>
        <w:tabs>
          <w:tab w:val="clear" w:pos="708"/>
          <w:tab w:val="left" w:pos="0" w:leader="none"/>
        </w:tabs>
        <w:ind w:left="709" w:hanging="283"/>
        <w:rPr/>
      </w:pPr>
      <w:r>
        <w:rPr/>
        <w:t xml:space="preserve">Vérifier l'espace disque disponible sur le volume </w:t>
      </w:r>
      <w:r>
        <w:rPr>
          <w:rStyle w:val="SourceText"/>
        </w:rPr>
        <w:t>/backup</w:t>
      </w:r>
    </w:p>
    <w:p>
      <w:pPr>
        <w:pStyle w:val="TextBody"/>
        <w:numPr>
          <w:ilvl w:val="0"/>
          <w:numId w:val="7"/>
        </w:numPr>
        <w:tabs>
          <w:tab w:val="clear" w:pos="708"/>
          <w:tab w:val="left" w:pos="0" w:leader="none"/>
        </w:tabs>
        <w:ind w:left="709" w:hanging="283"/>
        <w:rPr/>
      </w:pPr>
      <w:r>
        <w:rPr/>
        <w:t>Lister les derniers fichiers de sauvegarde créés pour chaque serveur</w:t>
      </w:r>
    </w:p>
    <w:p>
      <w:pPr>
        <w:pStyle w:val="TextBody"/>
        <w:numPr>
          <w:ilvl w:val="0"/>
          <w:numId w:val="7"/>
        </w:numPr>
        <w:tabs>
          <w:tab w:val="clear" w:pos="708"/>
          <w:tab w:val="left" w:pos="0" w:leader="none"/>
        </w:tabs>
        <w:ind w:left="709" w:hanging="283"/>
        <w:rPr/>
      </w:pPr>
      <w:r>
        <w:rPr/>
        <w:t>Contrôler la cohérence entre le nombre de fichiers présents et la politique de rétention</w:t>
      </w:r>
    </w:p>
    <w:p>
      <w:pPr>
        <w:pStyle w:val="TextBody"/>
        <w:rPr/>
      </w:pPr>
      <w:r>
        <w:rPr>
          <w:rStyle w:val="StrongEmphasis"/>
        </w:rPr>
        <w:t>Contrôles mensuels (obligatoires) :</w:t>
      </w:r>
    </w:p>
    <w:p>
      <w:pPr>
        <w:pStyle w:val="TextBody"/>
        <w:numPr>
          <w:ilvl w:val="0"/>
          <w:numId w:val="8"/>
        </w:numPr>
        <w:tabs>
          <w:tab w:val="clear" w:pos="708"/>
          <w:tab w:val="left" w:pos="0" w:leader="none"/>
        </w:tabs>
        <w:ind w:left="709" w:hanging="283"/>
        <w:rPr/>
      </w:pPr>
      <w:r>
        <w:rPr>
          <w:rStyle w:val="StrongEmphasis"/>
        </w:rPr>
        <w:t>Test de restauration</w:t>
      </w:r>
      <w:r>
        <w:rPr/>
        <w:t xml:space="preserve"> : restaurer au moins une sauvegarde pour valider son intégrité</w:t>
      </w:r>
    </w:p>
    <w:p>
      <w:pPr>
        <w:pStyle w:val="TextBody"/>
        <w:numPr>
          <w:ilvl w:val="0"/>
          <w:numId w:val="8"/>
        </w:numPr>
        <w:tabs>
          <w:tab w:val="clear" w:pos="708"/>
          <w:tab w:val="left" w:pos="0" w:leader="none"/>
        </w:tabs>
        <w:ind w:left="709" w:hanging="283"/>
        <w:rPr/>
      </w:pPr>
      <w:r>
        <w:rPr>
          <w:rStyle w:val="StrongEmphasis"/>
        </w:rPr>
        <w:t>Audit des rétentions</w:t>
      </w:r>
      <w:r>
        <w:rPr/>
        <w:t xml:space="preserve"> : vérifier que les durées de conservation sont conformes aux exigences légales (RGPD)</w:t>
      </w:r>
    </w:p>
    <w:p>
      <w:pPr>
        <w:pStyle w:val="TextBody"/>
        <w:numPr>
          <w:ilvl w:val="0"/>
          <w:numId w:val="8"/>
        </w:numPr>
        <w:tabs>
          <w:tab w:val="clear" w:pos="708"/>
          <w:tab w:val="left" w:pos="0" w:leader="none"/>
        </w:tabs>
        <w:ind w:left="709" w:hanging="283"/>
        <w:rPr/>
      </w:pPr>
      <w:r>
        <w:rPr>
          <w:rStyle w:val="StrongEmphasis"/>
        </w:rPr>
        <w:t>Revue des logs</w:t>
      </w:r>
      <w:r>
        <w:rPr/>
        <w:t xml:space="preserve"> : analyser les logs du mois écoulé pour identifier d'éventuelles anomalies récurrentes</w:t>
      </w:r>
    </w:p>
    <w:p>
      <w:pPr>
        <w:pStyle w:val="Normal"/>
        <w:spacing w:before="240" w:after="96"/>
        <w:ind w:left="0" w:hanging="0"/>
        <w:rPr/>
      </w:pPr>
      <w:r>
        <w:rPr/>
      </w:r>
    </w:p>
    <w:sectPr>
      <w:headerReference w:type="default" r:id="rId2"/>
      <w:footerReference w:type="default" r:id="rId3"/>
      <w:type w:val="nextPage"/>
      <w:pgSz w:w="11906" w:h="16838"/>
      <w:pgMar w:left="1417" w:right="1417"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Gothic">
    <w:charset w:val="01"/>
    <w:family w:val="roman"/>
    <w:pitch w:val="variable"/>
  </w:font>
  <w:font w:name="Times New Roman">
    <w:charset w:val="01"/>
    <w:family w:val="roman"/>
    <w:pitch w:val="variable"/>
  </w:font>
  <w:font w:name="Arial">
    <w:charset w:val="01"/>
    <w:family w:val="roman"/>
    <w:pitch w:val="variable"/>
  </w:font>
  <w:font w:name="OpenSymbol">
    <w:altName w:val="Arial Unicode MS"/>
    <w:charset w:val="01"/>
    <w:family w:val="roman"/>
    <w:pitch w:val="variable"/>
  </w:font>
  <w:font w:name="Liberation Mono">
    <w:altName w:val="Courier New"/>
    <w:charset w:val="01"/>
    <w:family w:val="roman"/>
    <w:pitch w:val="variable"/>
  </w:font>
  <w:font w:name="Liberation Sans">
    <w:altName w:val="Arial"/>
    <w:charset w:val="01"/>
    <w:family w:val="roman"/>
    <w:pitch w:val="variable"/>
  </w:font>
  <w:font w:name="Calibri Light">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auto" w:line="240" w:before="240" w:after="0"/>
      <w:rPr/>
    </w:pPr>
    <w:r>
      <w:rPr/>
      <w:drawing>
        <wp:anchor behindDoc="1" distT="0" distB="0" distL="0" distR="0" simplePos="0" locked="0" layoutInCell="0" allowOverlap="1" relativeHeight="31">
          <wp:simplePos x="0" y="0"/>
          <wp:positionH relativeFrom="page">
            <wp:align>left</wp:align>
          </wp:positionH>
          <wp:positionV relativeFrom="paragraph">
            <wp:posOffset>-68580</wp:posOffset>
          </wp:positionV>
          <wp:extent cx="7359015" cy="590550"/>
          <wp:effectExtent l="0" t="0" r="0" b="0"/>
          <wp:wrapNone/>
          <wp:docPr id="4"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descr=""/>
                  <pic:cNvPicPr>
                    <a:picLocks noChangeAspect="1" noChangeArrowheads="1"/>
                  </pic:cNvPicPr>
                </pic:nvPicPr>
                <pic:blipFill>
                  <a:blip r:embed="rId1"/>
                  <a:stretch>
                    <a:fillRect/>
                  </a:stretch>
                </pic:blipFill>
                <pic:spPr bwMode="auto">
                  <a:xfrm>
                    <a:off x="0" y="0"/>
                    <a:ext cx="7359015" cy="59055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240" w:before="240" w:after="0"/>
      <w:rPr/>
    </w:pPr>
    <w:r>
      <w:rPr/>
      <w:drawing>
        <wp:anchor behindDoc="1" distT="0" distB="0" distL="0" distR="0" simplePos="0" locked="0" layoutInCell="0" allowOverlap="1" relativeHeight="16">
          <wp:simplePos x="0" y="0"/>
          <wp:positionH relativeFrom="page">
            <wp:posOffset>218440</wp:posOffset>
          </wp:positionH>
          <wp:positionV relativeFrom="paragraph">
            <wp:posOffset>-217170</wp:posOffset>
          </wp:positionV>
          <wp:extent cx="7080885" cy="450215"/>
          <wp:effectExtent l="0" t="0" r="0" b="0"/>
          <wp:wrapNone/>
          <wp:docPr id="3"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descr=""/>
                  <pic:cNvPicPr>
                    <a:picLocks noChangeAspect="1" noChangeArrowheads="1"/>
                  </pic:cNvPicPr>
                </pic:nvPicPr>
                <pic:blipFill>
                  <a:blip r:embed="rId1"/>
                  <a:stretch>
                    <a:fillRect/>
                  </a:stretch>
                </pic:blipFill>
                <pic:spPr bwMode="auto">
                  <a:xfrm>
                    <a:off x="0" y="0"/>
                    <a:ext cx="7080885" cy="45021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2">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3">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4">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5">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6">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7">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8">
    <w:lvl w:ilvl="0">
      <w:start w:val="1"/>
      <w:numFmt w:val="bullet"/>
      <w:lvlText w:val=""/>
      <w:lvlJc w:val="left"/>
      <w:pPr>
        <w:tabs>
          <w:tab w:val="num" w:pos="709"/>
        </w:tabs>
        <w:ind w:left="709" w:hanging="283"/>
      </w:pPr>
      <w:rPr>
        <w:rFonts w:ascii="Symbol" w:hAnsi="Symbol" w:cs="Symbol" w:hint="default"/>
        <w:color w:val="2DA333"/>
      </w:rPr>
    </w:lvl>
    <w:lvl w:ilvl="1">
      <w:start w:val="1"/>
      <w:numFmt w:val="bullet"/>
      <w:lvlText w:val=""/>
      <w:lvlJc w:val="left"/>
      <w:pPr>
        <w:tabs>
          <w:tab w:val="num" w:pos="1418"/>
        </w:tabs>
        <w:ind w:left="1418" w:hanging="283"/>
      </w:pPr>
      <w:rPr>
        <w:rFonts w:ascii="Symbol" w:hAnsi="Symbol" w:cs="Symbol" w:hint="default"/>
        <w:color w:val="2DA333"/>
      </w:rPr>
    </w:lvl>
    <w:lvl w:ilvl="2">
      <w:start w:val="1"/>
      <w:numFmt w:val="bullet"/>
      <w:lvlText w:val=""/>
      <w:lvlJc w:val="left"/>
      <w:pPr>
        <w:tabs>
          <w:tab w:val="num" w:pos="2127"/>
        </w:tabs>
        <w:ind w:left="2127" w:hanging="283"/>
      </w:pPr>
      <w:rPr>
        <w:rFonts w:ascii="Symbol" w:hAnsi="Symbol" w:cs="Symbol" w:hint="default"/>
        <w:color w:val="2DA333"/>
      </w:rPr>
    </w:lvl>
    <w:lvl w:ilvl="3">
      <w:start w:val="1"/>
      <w:numFmt w:val="bullet"/>
      <w:lvlText w:val=""/>
      <w:lvlJc w:val="left"/>
      <w:pPr>
        <w:tabs>
          <w:tab w:val="num" w:pos="2836"/>
        </w:tabs>
        <w:ind w:left="2836" w:hanging="283"/>
      </w:pPr>
      <w:rPr>
        <w:rFonts w:ascii="Symbol" w:hAnsi="Symbol" w:cs="Symbol" w:hint="default"/>
        <w:color w:val="2DA333"/>
      </w:rPr>
    </w:lvl>
    <w:lvl w:ilvl="4">
      <w:start w:val="1"/>
      <w:numFmt w:val="bullet"/>
      <w:lvlText w:val=""/>
      <w:lvlJc w:val="left"/>
      <w:pPr>
        <w:tabs>
          <w:tab w:val="num" w:pos="3545"/>
        </w:tabs>
        <w:ind w:left="3545" w:hanging="283"/>
      </w:pPr>
      <w:rPr>
        <w:rFonts w:ascii="Symbol" w:hAnsi="Symbol" w:cs="Symbol" w:hint="default"/>
        <w:color w:val="2DA333"/>
      </w:rPr>
    </w:lvl>
    <w:lvl w:ilvl="5">
      <w:start w:val="1"/>
      <w:numFmt w:val="bullet"/>
      <w:lvlText w:val=""/>
      <w:lvlJc w:val="left"/>
      <w:pPr>
        <w:tabs>
          <w:tab w:val="num" w:pos="4254"/>
        </w:tabs>
        <w:ind w:left="4254" w:hanging="283"/>
      </w:pPr>
      <w:rPr>
        <w:rFonts w:ascii="Symbol" w:hAnsi="Symbol" w:cs="Symbol" w:hint="default"/>
        <w:color w:val="2DA333"/>
      </w:rPr>
    </w:lvl>
    <w:lvl w:ilvl="6">
      <w:start w:val="1"/>
      <w:numFmt w:val="bullet"/>
      <w:lvlText w:val=""/>
      <w:lvlJc w:val="left"/>
      <w:pPr>
        <w:tabs>
          <w:tab w:val="num" w:pos="4963"/>
        </w:tabs>
        <w:ind w:left="4963" w:hanging="283"/>
      </w:pPr>
      <w:rPr>
        <w:rFonts w:ascii="Symbol" w:hAnsi="Symbol" w:cs="Symbol" w:hint="default"/>
        <w:color w:val="2DA333"/>
      </w:rPr>
    </w:lvl>
    <w:lvl w:ilvl="7">
      <w:start w:val="1"/>
      <w:numFmt w:val="bullet"/>
      <w:lvlText w:val=""/>
      <w:lvlJc w:val="left"/>
      <w:pPr>
        <w:tabs>
          <w:tab w:val="num" w:pos="5672"/>
        </w:tabs>
        <w:ind w:left="5672" w:hanging="283"/>
      </w:pPr>
      <w:rPr>
        <w:rFonts w:ascii="Symbol" w:hAnsi="Symbol" w:cs="Symbol" w:hint="default"/>
        <w:color w:val="2DA333"/>
      </w:rPr>
    </w:lvl>
    <w:lvl w:ilvl="8">
      <w:start w:val="1"/>
      <w:numFmt w:val="bullet"/>
      <w:lvlText w:val=""/>
      <w:lvlJc w:val="left"/>
      <w:pPr>
        <w:tabs>
          <w:tab w:val="num" w:pos="6381"/>
        </w:tabs>
        <w:ind w:left="6381" w:hanging="283"/>
      </w:pPr>
      <w:rPr>
        <w:rFonts w:ascii="Symbol" w:hAnsi="Symbol" w:cs="Symbol" w:hint="default"/>
        <w:color w:val="2DA333"/>
      </w:rPr>
    </w:lvl>
  </w:abstractNum>
  <w:abstractNum w:abstractNumId="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89"/>
  <w:defaultTabStop w:val="708"/>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Gothic" w:hAnsi="Century Gothic" w:eastAsia="Calibri" w:cs="DejaVu Sans"/>
        <w:sz w:val="32"/>
        <w:szCs w:val="32"/>
        <w:lang w:val="fr-FR" w:eastAsia="en-US" w:bidi="ar-SA"/>
      </w:rPr>
    </w:rPrDefault>
    <w:pPrDefault>
      <w:pPr>
        <w:suppressAutoHyphens w:val="true"/>
      </w:pPr>
    </w:pPrDefault>
  </w:docDefaults>
  <w:style w:type="paragraph" w:styleId="Normal">
    <w:name w:val="Normal"/>
    <w:qFormat/>
    <w:pPr>
      <w:widowControl/>
      <w:suppressAutoHyphens w:val="true"/>
      <w:overflowPunct w:val="true"/>
      <w:bidi w:val="0"/>
      <w:spacing w:lineRule="auto" w:line="276" w:before="240" w:after="240"/>
      <w:jc w:val="both"/>
    </w:pPr>
    <w:rPr>
      <w:rFonts w:ascii="Times New Roman" w:hAnsi="Times New Roman" w:eastAsia="Calibri" w:cs="DejaVu Sans"/>
      <w:color w:val="auto"/>
      <w:kern w:val="0"/>
      <w:sz w:val="24"/>
      <w:szCs w:val="32"/>
      <w:lang w:val="fr-FR" w:eastAsia="en-US" w:bidi="ar-SA"/>
    </w:rPr>
  </w:style>
  <w:style w:type="paragraph" w:styleId="Heading1">
    <w:name w:val="Heading 1"/>
    <w:basedOn w:val="Normal"/>
    <w:next w:val="Normal"/>
    <w:link w:val="Titre1Car"/>
    <w:qFormat/>
    <w:pPr>
      <w:keepNext w:val="true"/>
      <w:keepLines/>
      <w:numPr>
        <w:ilvl w:val="0"/>
        <w:numId w:val="0"/>
      </w:numPr>
      <w:outlineLvl w:val="0"/>
    </w:pPr>
    <w:rPr>
      <w:rFonts w:eastAsia="Calibri" w:cs="DejaVu Sans"/>
      <w:b/>
      <w:caps/>
      <w:color w:val="014276"/>
      <w:sz w:val="32"/>
      <w:u w:val="single"/>
    </w:rPr>
  </w:style>
  <w:style w:type="paragraph" w:styleId="Heading2">
    <w:name w:val="Heading 2"/>
    <w:basedOn w:val="Normal"/>
    <w:next w:val="Normal"/>
    <w:link w:val="Titre2Car"/>
    <w:qFormat/>
    <w:pPr>
      <w:keepNext w:val="true"/>
      <w:keepLines/>
      <w:numPr>
        <w:ilvl w:val="0"/>
        <w:numId w:val="0"/>
      </w:numPr>
      <w:outlineLvl w:val="1"/>
    </w:pPr>
    <w:rPr>
      <w:rFonts w:eastAsia="Calibri" w:cs="DejaVu Sans"/>
      <w:b/>
      <w:color w:val="0072CE"/>
      <w:sz w:val="28"/>
      <w:szCs w:val="26"/>
    </w:rPr>
  </w:style>
  <w:style w:type="paragraph" w:styleId="Heading3">
    <w:name w:val="Heading 3"/>
    <w:basedOn w:val="Normal"/>
    <w:next w:val="Normal"/>
    <w:link w:val="Titre3Car"/>
    <w:qFormat/>
    <w:pPr>
      <w:keepNext w:val="true"/>
      <w:keepLines/>
      <w:numPr>
        <w:ilvl w:val="0"/>
        <w:numId w:val="0"/>
      </w:numPr>
      <w:spacing w:before="40" w:after="0"/>
      <w:outlineLvl w:val="2"/>
    </w:pPr>
    <w:rPr>
      <w:rFonts w:eastAsia="Calibri" w:cs="DejaVu Sans"/>
      <w:b/>
      <w:szCs w:val="24"/>
    </w:rPr>
  </w:style>
  <w:style w:type="paragraph" w:styleId="Heading4">
    <w:name w:val="Heading 4"/>
    <w:link w:val="Titre4Car"/>
    <w:qFormat/>
    <w:pPr>
      <w:widowControl/>
      <w:numPr>
        <w:ilvl w:val="0"/>
        <w:numId w:val="0"/>
      </w:numPr>
      <w:suppressAutoHyphens w:val="true"/>
      <w:overflowPunct w:val="true"/>
      <w:bidi w:val="0"/>
      <w:spacing w:lineRule="auto" w:line="240" w:before="0" w:after="0"/>
      <w:jc w:val="left"/>
      <w:outlineLvl w:val="3"/>
    </w:pPr>
    <w:rPr>
      <w:rFonts w:ascii="Arial" w:hAnsi="Arial" w:eastAsia="Arial" w:cs="Arial"/>
      <w:i/>
      <w:iCs/>
      <w:color w:val="2E74B5"/>
      <w:kern w:val="0"/>
      <w:sz w:val="22"/>
      <w:szCs w:val="22"/>
      <w:lang w:val="fr-FR" w:eastAsia="fr-FR" w:bidi="ar-SA"/>
    </w:rPr>
  </w:style>
  <w:style w:type="paragraph" w:styleId="Heading5">
    <w:name w:val="Heading 5"/>
    <w:link w:val="Titre5Car"/>
    <w:qFormat/>
    <w:pPr>
      <w:widowControl/>
      <w:numPr>
        <w:ilvl w:val="0"/>
        <w:numId w:val="0"/>
      </w:numPr>
      <w:suppressAutoHyphens w:val="true"/>
      <w:overflowPunct w:val="true"/>
      <w:bidi w:val="0"/>
      <w:spacing w:lineRule="auto" w:line="240" w:before="0" w:after="0"/>
      <w:jc w:val="left"/>
      <w:outlineLvl w:val="4"/>
    </w:pPr>
    <w:rPr>
      <w:rFonts w:ascii="Arial" w:hAnsi="Arial" w:eastAsia="Arial" w:cs="Arial"/>
      <w:color w:val="2E74B5"/>
      <w:kern w:val="0"/>
      <w:sz w:val="22"/>
      <w:szCs w:val="22"/>
      <w:lang w:val="fr-FR" w:eastAsia="fr-FR" w:bidi="ar-SA"/>
    </w:rPr>
  </w:style>
  <w:style w:type="paragraph" w:styleId="Heading6">
    <w:name w:val="Heading 6"/>
    <w:link w:val="Titre6Car"/>
    <w:qFormat/>
    <w:pPr>
      <w:widowControl/>
      <w:numPr>
        <w:ilvl w:val="0"/>
        <w:numId w:val="0"/>
      </w:numPr>
      <w:suppressAutoHyphens w:val="true"/>
      <w:overflowPunct w:val="true"/>
      <w:bidi w:val="0"/>
      <w:spacing w:lineRule="auto" w:line="240" w:before="0" w:after="0"/>
      <w:jc w:val="left"/>
      <w:outlineLvl w:val="5"/>
    </w:pPr>
    <w:rPr>
      <w:rFonts w:ascii="Arial" w:hAnsi="Arial" w:eastAsia="Arial" w:cs="Arial"/>
      <w:color w:val="1F4D78"/>
      <w:kern w:val="0"/>
      <w:sz w:val="22"/>
      <w:szCs w:val="22"/>
      <w:lang w:val="fr-FR" w:eastAsia="fr-FR" w:bidi="ar-SA"/>
    </w:rPr>
  </w:style>
  <w:style w:type="character" w:styleId="DefaultParagraphFont">
    <w:name w:val="Default Paragraph Font"/>
    <w:qFormat/>
    <w:rPr/>
  </w:style>
  <w:style w:type="character" w:styleId="EntteCar">
    <w:name w:val="En-tête Car"/>
    <w:basedOn w:val="DefaultParagraphFont"/>
    <w:link w:val="Header"/>
    <w:qFormat/>
    <w:rPr/>
  </w:style>
  <w:style w:type="character" w:styleId="PieddepageCar">
    <w:name w:val="Pied de page Car"/>
    <w:basedOn w:val="DefaultParagraphFont"/>
    <w:link w:val="Footer"/>
    <w:qFormat/>
    <w:rPr/>
  </w:style>
  <w:style w:type="character" w:styleId="Titre1Car">
    <w:name w:val="Titre 1 Car"/>
    <w:basedOn w:val="DefaultParagraphFont"/>
    <w:link w:val="Heading1"/>
    <w:qFormat/>
    <w:rPr>
      <w:rFonts w:ascii="Times New Roman" w:hAnsi="Times New Roman" w:eastAsia="Calibri" w:cs="DejaVu Sans"/>
      <w:b/>
      <w:caps/>
      <w:color w:val="014276"/>
      <w:u w:val="single"/>
    </w:rPr>
  </w:style>
  <w:style w:type="character" w:styleId="Titre2Car">
    <w:name w:val="Titre 2 Car"/>
    <w:basedOn w:val="DefaultParagraphFont"/>
    <w:link w:val="Heading2"/>
    <w:qFormat/>
    <w:rPr>
      <w:rFonts w:ascii="Times New Roman" w:hAnsi="Times New Roman" w:eastAsia="Calibri" w:cs="DejaVu Sans"/>
      <w:b/>
      <w:color w:val="0072CE"/>
      <w:sz w:val="28"/>
      <w:szCs w:val="26"/>
    </w:rPr>
  </w:style>
  <w:style w:type="character" w:styleId="TitreCar">
    <w:name w:val="Titre Car"/>
    <w:basedOn w:val="DefaultParagraphFont"/>
    <w:link w:val="Title"/>
    <w:qFormat/>
    <w:rPr>
      <w:rFonts w:ascii="Times New Roman" w:hAnsi="Times New Roman" w:eastAsia="Calibri" w:cs="DejaVu Sans"/>
      <w:b/>
      <w:spacing w:val="-10"/>
      <w:kern w:val="2"/>
      <w:sz w:val="56"/>
      <w:szCs w:val="56"/>
      <w:u w:val="single"/>
    </w:rPr>
  </w:style>
  <w:style w:type="character" w:styleId="Titre3Car">
    <w:name w:val="Titre 3 Car"/>
    <w:basedOn w:val="DefaultParagraphFont"/>
    <w:link w:val="Heading3"/>
    <w:qFormat/>
    <w:rPr>
      <w:rFonts w:ascii="Times New Roman" w:hAnsi="Times New Roman" w:eastAsia="Calibri" w:cs="DejaVu Sans"/>
      <w:b/>
      <w:sz w:val="24"/>
      <w:szCs w:val="24"/>
    </w:rPr>
  </w:style>
  <w:style w:type="character" w:styleId="Titre4Car">
    <w:name w:val="Titre 4 Car"/>
    <w:basedOn w:val="DefaultParagraphFont"/>
    <w:link w:val="Heading4"/>
    <w:qFormat/>
    <w:rPr>
      <w:rFonts w:ascii="Arial" w:hAnsi="Arial" w:eastAsia="Arial" w:cs="Arial"/>
      <w:i/>
      <w:iCs/>
      <w:color w:val="2E74B5"/>
      <w:sz w:val="22"/>
      <w:szCs w:val="22"/>
      <w:lang w:eastAsia="fr-FR"/>
    </w:rPr>
  </w:style>
  <w:style w:type="character" w:styleId="Titre5Car">
    <w:name w:val="Titre 5 Car"/>
    <w:basedOn w:val="DefaultParagraphFont"/>
    <w:link w:val="Heading5"/>
    <w:qFormat/>
    <w:rPr>
      <w:rFonts w:ascii="Arial" w:hAnsi="Arial" w:eastAsia="Arial" w:cs="Arial"/>
      <w:color w:val="2E74B5"/>
      <w:sz w:val="22"/>
      <w:szCs w:val="22"/>
      <w:lang w:eastAsia="fr-FR"/>
    </w:rPr>
  </w:style>
  <w:style w:type="character" w:styleId="Titre6Car">
    <w:name w:val="Titre 6 Car"/>
    <w:basedOn w:val="DefaultParagraphFont"/>
    <w:link w:val="Heading6"/>
    <w:qFormat/>
    <w:rPr>
      <w:rFonts w:ascii="Arial" w:hAnsi="Arial" w:eastAsia="Arial" w:cs="Arial"/>
      <w:color w:val="1F4D78"/>
      <w:sz w:val="22"/>
      <w:szCs w:val="22"/>
      <w:lang w:eastAsia="fr-FR"/>
    </w:rPr>
  </w:style>
  <w:style w:type="character" w:styleId="InternetLink">
    <w:name w:val="Hyperlink"/>
    <w:rPr>
      <w:color w:val="0563C1"/>
      <w:u w:val="single"/>
    </w:rPr>
  </w:style>
  <w:style w:type="character" w:styleId="FootnoteCharacters">
    <w:name w:val="Footnote Characters"/>
    <w:qFormat/>
    <w:rPr>
      <w:vertAlign w:val="superscript"/>
    </w:rPr>
  </w:style>
  <w:style w:type="character" w:styleId="FootnoteAnchor">
    <w:name w:val="Footnote Anchor"/>
    <w:rPr>
      <w:vertAlign w:val="superscript"/>
    </w:rPr>
  </w:style>
  <w:style w:type="character" w:styleId="NotedebasdepageCar">
    <w:name w:val="Note de bas de page Car"/>
    <w:basedOn w:val="DefaultParagraphFont"/>
    <w:link w:val="Footnote"/>
    <w:qFormat/>
    <w:rPr>
      <w:rFonts w:ascii="Arial" w:hAnsi="Arial" w:eastAsia="Arial" w:cs="Arial"/>
      <w:sz w:val="20"/>
      <w:szCs w:val="20"/>
      <w:lang w:eastAsia="fr-FR"/>
    </w:rPr>
  </w:style>
  <w:style w:type="character" w:styleId="UnresolvedMention">
    <w:name w:val="Unresolved Mention"/>
    <w:basedOn w:val="DefaultParagraphFont"/>
    <w:qFormat/>
    <w:rPr>
      <w:color w:val="605E5C"/>
      <w:shd w:fill="E1DFDD" w:val="clear"/>
    </w:rPr>
  </w:style>
  <w:style w:type="character" w:styleId="StrongEmphasis">
    <w:name w:val="Strong Emphasis"/>
    <w:qFormat/>
    <w:rPr>
      <w:b/>
      <w:bCs/>
    </w:rPr>
  </w:style>
  <w:style w:type="character" w:styleId="Bullets">
    <w:name w:val="Bullets"/>
    <w:qFormat/>
    <w:rPr>
      <w:rFonts w:ascii="OpenSymbol" w:hAnsi="OpenSymbol" w:eastAsia="OpenSymbol" w:cs="OpenSymbol"/>
      <w:color w:val="2DA333"/>
    </w:rPr>
  </w:style>
  <w:style w:type="character" w:styleId="SourceText">
    <w:name w:val="Source Text"/>
    <w:qFormat/>
    <w:rPr>
      <w:rFonts w:ascii="Liberation Mono" w:hAnsi="Liberation Mono" w:eastAsia="Liberation Mono" w:cs="Liberation Mono"/>
    </w:rPr>
  </w:style>
  <w:style w:type="character" w:styleId="NumberingSymbols">
    <w:name w:val="Numbering Symbols"/>
    <w:qFormat/>
    <w:rPr/>
  </w:style>
  <w:style w:type="character" w:styleId="IndexLink">
    <w:name w:val="Index Link"/>
    <w:qForma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EntteCar"/>
    <w:pPr>
      <w:tabs>
        <w:tab w:val="clear" w:pos="708"/>
        <w:tab w:val="center" w:pos="4536" w:leader="none"/>
        <w:tab w:val="right" w:pos="9072" w:leader="none"/>
      </w:tabs>
      <w:spacing w:lineRule="auto" w:line="240" w:before="240" w:after="0"/>
    </w:pPr>
    <w:rPr/>
  </w:style>
  <w:style w:type="paragraph" w:styleId="Footer">
    <w:name w:val="Footer"/>
    <w:basedOn w:val="Normal"/>
    <w:link w:val="PieddepageCar"/>
    <w:pPr>
      <w:tabs>
        <w:tab w:val="clear" w:pos="708"/>
        <w:tab w:val="center" w:pos="4536" w:leader="none"/>
        <w:tab w:val="right" w:pos="9072" w:leader="none"/>
      </w:tabs>
      <w:spacing w:lineRule="auto" w:line="240" w:before="240" w:after="0"/>
    </w:pPr>
    <w:rPr/>
  </w:style>
  <w:style w:type="paragraph" w:styleId="Title">
    <w:name w:val="Title"/>
    <w:basedOn w:val="Normal"/>
    <w:next w:val="Normal"/>
    <w:link w:val="TitreCar"/>
    <w:qFormat/>
    <w:pPr>
      <w:spacing w:lineRule="auto" w:line="240" w:before="240" w:after="0"/>
      <w:contextualSpacing/>
      <w:jc w:val="center"/>
    </w:pPr>
    <w:rPr>
      <w:rFonts w:eastAsia="Calibri" w:cs="DejaVu Sans"/>
      <w:b/>
      <w:spacing w:val="-10"/>
      <w:kern w:val="2"/>
      <w:sz w:val="56"/>
      <w:szCs w:val="56"/>
      <w:u w:val="single"/>
    </w:rPr>
  </w:style>
  <w:style w:type="paragraph" w:styleId="Lev1">
    <w:name w:val="Élevé1"/>
    <w:qFormat/>
    <w:pPr>
      <w:widowControl/>
      <w:suppressAutoHyphens w:val="true"/>
      <w:overflowPunct w:val="true"/>
      <w:bidi w:val="0"/>
      <w:spacing w:lineRule="auto" w:line="240" w:before="0" w:after="0"/>
      <w:jc w:val="left"/>
    </w:pPr>
    <w:rPr>
      <w:rFonts w:ascii="Arial" w:hAnsi="Arial" w:eastAsia="Arial" w:cs="Arial"/>
      <w:b/>
      <w:bCs/>
      <w:color w:val="auto"/>
      <w:kern w:val="0"/>
      <w:sz w:val="22"/>
      <w:szCs w:val="22"/>
      <w:lang w:val="fr-FR" w:eastAsia="fr-FR" w:bidi="ar-SA"/>
    </w:rPr>
  </w:style>
  <w:style w:type="paragraph" w:styleId="ListParagraph">
    <w:name w:val="List Paragraph"/>
    <w:qFormat/>
    <w:pPr>
      <w:widowControl/>
      <w:suppressAutoHyphens w:val="true"/>
      <w:overflowPunct w:val="true"/>
      <w:bidi w:val="0"/>
      <w:spacing w:lineRule="auto" w:line="240" w:before="120" w:after="240"/>
      <w:jc w:val="both"/>
    </w:pPr>
    <w:rPr>
      <w:rFonts w:ascii="Times New Roman" w:hAnsi="Times New Roman" w:eastAsia="Arial" w:cs="Arial"/>
      <w:color w:val="auto"/>
      <w:kern w:val="0"/>
      <w:sz w:val="24"/>
      <w:szCs w:val="22"/>
      <w:lang w:val="fr-FR" w:eastAsia="fr-FR" w:bidi="ar-SA"/>
    </w:rPr>
  </w:style>
  <w:style w:type="paragraph" w:styleId="Footnote">
    <w:name w:val="Footnote Text"/>
    <w:link w:val="NotedebasdepageCar"/>
    <w:pPr>
      <w:widowControl/>
      <w:suppressAutoHyphens w:val="true"/>
      <w:overflowPunct w:val="true"/>
      <w:bidi w:val="0"/>
      <w:spacing w:lineRule="auto" w:line="240" w:before="0" w:after="0"/>
      <w:jc w:val="left"/>
    </w:pPr>
    <w:rPr>
      <w:rFonts w:ascii="Arial" w:hAnsi="Arial" w:eastAsia="Arial" w:cs="Arial"/>
      <w:color w:val="auto"/>
      <w:kern w:val="0"/>
      <w:sz w:val="20"/>
      <w:szCs w:val="20"/>
      <w:lang w:val="fr-FR" w:eastAsia="fr-FR" w:bidi="ar-SA"/>
    </w:rPr>
  </w:style>
  <w:style w:type="paragraph" w:styleId="Contents1">
    <w:name w:val="TOC 1"/>
    <w:basedOn w:val="Normal"/>
    <w:next w:val="Normal"/>
    <w:autoRedefine/>
    <w:pPr>
      <w:tabs>
        <w:tab w:val="clear" w:pos="708"/>
        <w:tab w:val="right" w:pos="9376" w:leader="dot"/>
      </w:tabs>
      <w:spacing w:lineRule="auto" w:line="240" w:before="240" w:after="100"/>
    </w:pPr>
    <w:rPr>
      <w:rFonts w:eastAsia="Arial" w:cs="Arial"/>
      <w:szCs w:val="22"/>
      <w:lang w:eastAsia="fr-FR"/>
    </w:rPr>
  </w:style>
  <w:style w:type="paragraph" w:styleId="Contents2">
    <w:name w:val="TOC 2"/>
    <w:basedOn w:val="Normal"/>
    <w:next w:val="Normal"/>
    <w:autoRedefine/>
    <w:pPr>
      <w:tabs>
        <w:tab w:val="clear" w:pos="708"/>
        <w:tab w:val="right" w:pos="9062" w:leader="dot"/>
      </w:tabs>
      <w:spacing w:lineRule="auto" w:line="240" w:before="240" w:after="100"/>
      <w:ind w:left="220" w:right="0" w:hanging="0"/>
    </w:pPr>
    <w:rPr>
      <w:rFonts w:eastAsia="Arial" w:cs="Arial"/>
      <w:szCs w:val="22"/>
      <w:lang w:eastAsia="fr-FR"/>
    </w:rPr>
  </w:style>
  <w:style w:type="paragraph" w:styleId="NoSpacing">
    <w:name w:val="No Spacing"/>
    <w:qFormat/>
    <w:pPr>
      <w:widowControl/>
      <w:suppressAutoHyphens w:val="true"/>
      <w:overflowPunct w:val="true"/>
      <w:bidi w:val="0"/>
      <w:spacing w:lineRule="auto" w:line="240" w:before="0" w:after="0"/>
      <w:jc w:val="both"/>
    </w:pPr>
    <w:rPr>
      <w:rFonts w:ascii="Times New Roman" w:hAnsi="Times New Roman" w:eastAsia="Arial" w:cs="Arial"/>
      <w:color w:val="auto"/>
      <w:kern w:val="0"/>
      <w:sz w:val="24"/>
      <w:szCs w:val="22"/>
      <w:lang w:val="fr-FR" w:eastAsia="fr-FR" w:bidi="ar-SA"/>
    </w:rPr>
  </w:style>
  <w:style w:type="paragraph" w:styleId="IndexHeading">
    <w:name w:val="Index Heading"/>
    <w:basedOn w:val="Heading"/>
    <w:pPr/>
    <w:rPr/>
  </w:style>
  <w:style w:type="paragraph" w:styleId="ContentsHeading">
    <w:name w:val="TOC Heading"/>
    <w:basedOn w:val="Heading1"/>
    <w:next w:val="Normal"/>
    <w:pPr>
      <w:spacing w:lineRule="auto" w:line="259" w:before="240" w:after="0"/>
      <w:jc w:val="left"/>
      <w:outlineLvl w:val="9"/>
    </w:pPr>
    <w:rPr>
      <w:rFonts w:ascii="Calibri Light" w:hAnsi="Calibri Light"/>
      <w:b w:val="false"/>
      <w:caps w:val="false"/>
      <w:smallCaps w:val="false"/>
      <w:color w:val="2F5496"/>
      <w:u w:val="none"/>
      <w:lang w:eastAsia="fr-F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PreformattedText">
    <w:name w:val="Preformatted Text"/>
    <w:basedOn w:val="Normal"/>
    <w:qFormat/>
    <w:pPr>
      <w:spacing w:before="240" w:after="0"/>
    </w:pPr>
    <w:rPr>
      <w:rFonts w:ascii="Liberation Mono" w:hAnsi="Liberation Mono" w:eastAsia="Liberation Mono" w:cs="Liberation Mono"/>
      <w:sz w:val="20"/>
      <w:szCs w:val="20"/>
    </w:rPr>
  </w:style>
  <w:style w:type="paragraph" w:styleId="Contents3">
    <w:name w:val="TOC 3"/>
    <w:basedOn w:val="Index"/>
    <w:pPr>
      <w:tabs>
        <w:tab w:val="clear" w:pos="708"/>
        <w:tab w:val="right" w:pos="8505" w:leader="dot"/>
      </w:tabs>
      <w:ind w:left="567" w:right="0" w:hanging="0"/>
    </w:pPr>
    <w:rPr/>
  </w:style>
  <w:style w:type="paragraph" w:styleId="Contents4">
    <w:name w:val="TOC 4"/>
    <w:basedOn w:val="Index"/>
    <w:pPr>
      <w:tabs>
        <w:tab w:val="clear" w:pos="708"/>
        <w:tab w:val="right" w:pos="8222" w:leader="dot"/>
      </w:tabs>
      <w:ind w:left="850" w:right="0" w:hanging="0"/>
    </w:pPr>
    <w:rPr/>
  </w:style>
  <w:style w:type="paragraph" w:styleId="HorizontalLine">
    <w:name w:val="Horizontal Line"/>
    <w:basedOn w:val="Normal"/>
    <w:next w:val="TextBody"/>
    <w:qFormat/>
    <w:pPr>
      <w:suppressLineNumbers/>
      <w:pBdr>
        <w:bottom w:val="double" w:sz="2" w:space="0" w:color="808080"/>
      </w:pBdr>
      <w:spacing w:before="240" w:after="283"/>
    </w:pPr>
    <w:rPr>
      <w:sz w:val="12"/>
      <w:szCs w:val="12"/>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2.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Normal</Template>
  <TotalTime>228</TotalTime>
  <Application>LibreOffice/7.3.7.2$Linux_X86_64 LibreOffice_project/30$Build-2</Application>
  <AppVersion>15.0000</AppVersion>
  <Pages>15</Pages>
  <Words>2021</Words>
  <Characters>12832</Characters>
  <CharactersWithSpaces>15139</CharactersWithSpaces>
  <Paragraphs>307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2024-04-02T12:43:00Z</dcterms:created>
  <dc:creator>akoumigornbu@gmail.com</dc:creator>
  <dc:description/>
  <dc:language>en-US</dc:language>
  <cp:lastModifiedBy/>
  <dcterms:modified xsi:type="dcterms:W3CDTF">2026-04-09T16:32:37Z</dcterms:modified>
  <cp:revision>36</cp:revision>
  <dc:subject/>
  <dc:title/>
</cp:coreProperties>
</file>

<file path=docProps/custom.xml><?xml version="1.0" encoding="utf-8"?>
<Properties xmlns="http://schemas.openxmlformats.org/officeDocument/2006/custom-properties" xmlns:vt="http://schemas.openxmlformats.org/officeDocument/2006/docPropsVTypes"/>
</file>