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rPr>
          <w:rFonts w:ascii="Times New Roman" w:cs="Times New Roman" w:eastAsia="Times New Roman" w:hAnsi="Times New Roman"/>
          <w:b w:val="1"/>
          <w:bCs w:val="1"/>
          <w:sz w:val="52"/>
          <w:szCs w:val="5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52"/>
          <w:szCs w:val="52"/>
          <w:rtl w:val="0"/>
        </w:rPr>
        <w:t xml:space="preserve">PROPOSITION FINANCIÈRE</w:t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Produit : Serveur Cloud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Client 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Date : 30 Décembre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760" w:right="0" w:hanging="40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Détail des offres</w:t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3"/>
        <w:gridCol w:w="2551"/>
        <w:gridCol w:w="5098"/>
        <w:tblGridChange w:id="0">
          <w:tblGrid>
            <w:gridCol w:w="1413"/>
            <w:gridCol w:w="2551"/>
            <w:gridCol w:w="509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Offres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Caractéristiques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Détails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Offre 1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Localisation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Europe (France - Roubaix)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Processeur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Intel Xeon-E3 1270 v6 - 4c/8t - 3.8GHz / 4.2GHz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RAM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32 Go DDR4 ECC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Stockage HDD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× 2 TB HDD SATA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Stockage SSD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 × 450 GB SSD NVMe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Bande passante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300 Mbit/s illimitée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Prix - Premier mois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43 900 FCFA TTC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Prix - Mois suivants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21 950 FCFA TTC / mois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Offre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Localisation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Europe (France - Roubaix)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Processeur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Intel Xeon-E3 1245 v5 - 4c/8t - 3.5GHz/3.9GHz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RAM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32 Go DDR4 ECC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Stockage HDD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2× 2TB HDD SATA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Stockage SSD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2× 480TB SDD NVMe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Bande passante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300 Mbit/s illimitée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Prix - Premier mois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46 400 FCFA TTC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Prix - Mois suivants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23 200 FCFA TTC / mois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Offre 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Localisation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Europe (France - Gravelines)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Processeur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 vCore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RAM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 Go RAM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Stockage SSD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75 Go SSD NVMe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Bande passante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400 Mbit/s illimitée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Prix - Premier mois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9 200 FCFA TTC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Prix - Mois suivants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4 600 FCFA TTC / mois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Offre 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Localisation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Europe (France - Gravelines)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Processeur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 vCore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RAM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 Go RAM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Stockage SSD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100 Go SSD NVMe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Bande passante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 Gbit/s illimitée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Prix - Premier mois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9 200 FCFA TTC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Prix - Mois suivants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14 400 FCFA TTC / mois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after="280" w:before="280" w:lineRule="auto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2. Conditions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spacing w:after="0" w:before="28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Tarifs toutes taxes comprises.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pacing w:after="280" w:before="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Durée minimale d’engagement : 1 mois, renouvelable automatiquement.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80" w:before="280" w:lineRule="auto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3. Services additionnels</w:t>
      </w:r>
    </w:p>
    <w:tbl>
      <w:tblPr>
        <w:tblStyle w:val="Table2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1"/>
        <w:gridCol w:w="2083"/>
        <w:gridCol w:w="5258"/>
        <w:tblGridChange w:id="0">
          <w:tblGrid>
            <w:gridCol w:w="1721"/>
            <w:gridCol w:w="2083"/>
            <w:gridCol w:w="525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Désignation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Montant (FCFA)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Observations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Info-gérance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 discuter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Nous assurons la gestion et la continuité du service.</w:t>
            </w:r>
          </w:p>
        </w:tc>
      </w:tr>
    </w:tbl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80" w:before="280" w:lineRule="auto"/>
        <w:rPr>
          <w:rFonts w:ascii="Times New Roman" w:cs="Times New Roman" w:eastAsia="Times New Roman" w:hAnsi="Times New Roman"/>
          <w:b w:val="1"/>
          <w:bCs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0"/>
          <w:szCs w:val="40"/>
          <w:rtl w:val="0"/>
        </w:rPr>
        <w:t xml:space="preserve">4. Modalités de paiement</w:t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spacing w:after="280" w:before="28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Paiement à réception de facture.</w:t>
      </w:r>
    </w:p>
    <w:p w:rsidR="00000000" w:rsidDel="00000000" w:rsidP="00000000" w:rsidRDefault="00000000" w:rsidRPr="00000000" w14:paraId="0000007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-885391</wp:posOffset>
          </wp:positionH>
          <wp:positionV relativeFrom="paragraph">
            <wp:posOffset>-116204</wp:posOffset>
          </wp:positionV>
          <wp:extent cx="7351694" cy="589951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-680935</wp:posOffset>
          </wp:positionH>
          <wp:positionV relativeFrom="paragraph">
            <wp:posOffset>-234098</wp:posOffset>
          </wp:positionV>
          <wp:extent cx="7081120" cy="450376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081120" cy="45037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60" w:hanging="40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/>
    <w:rPr>
      <w:rFonts w:ascii="Times New Roman" w:cs="Times New Roman" w:eastAsia="Times New Roman" w:hAnsi="Times New Roman"/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