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43942" w14:textId="77777777" w:rsidR="009C37E0" w:rsidRPr="00E80B43" w:rsidRDefault="00000000">
      <w:pPr>
        <w:spacing w:after="80"/>
        <w:jc w:val="center"/>
        <w:rPr>
          <w:rFonts w:ascii="Times New Roman" w:hAnsi="Times New Roman" w:cs="Times New Roman"/>
          <w:color w:val="auto"/>
          <w:sz w:val="40"/>
          <w:szCs w:val="40"/>
        </w:rPr>
      </w:pPr>
      <w:r w:rsidRPr="00E80B43">
        <w:rPr>
          <w:rFonts w:ascii="Times New Roman" w:hAnsi="Times New Roman" w:cs="Times New Roman"/>
          <w:b/>
          <w:bCs/>
          <w:color w:val="auto"/>
          <w:sz w:val="40"/>
          <w:szCs w:val="40"/>
        </w:rPr>
        <w:t>PROPOSITIONS DE THÈMES D'ARTICLES SCIENTIFIQUES</w:t>
      </w:r>
    </w:p>
    <w:p w14:paraId="4785748A" w14:textId="77777777" w:rsidR="009C37E0" w:rsidRPr="00E80B43" w:rsidRDefault="00000000">
      <w:pPr>
        <w:spacing w:after="60"/>
        <w:jc w:val="center"/>
        <w:rPr>
          <w:rFonts w:ascii="Times New Roman" w:hAnsi="Times New Roman" w:cs="Times New Roman"/>
          <w:color w:val="auto"/>
          <w:sz w:val="28"/>
          <w:szCs w:val="28"/>
        </w:rPr>
      </w:pPr>
      <w:r w:rsidRPr="00E80B43">
        <w:rPr>
          <w:rFonts w:ascii="Times New Roman" w:hAnsi="Times New Roman" w:cs="Times New Roman"/>
          <w:color w:val="auto"/>
          <w:sz w:val="28"/>
          <w:szCs w:val="28"/>
        </w:rPr>
        <w:t>Sécurité Frugale · Cloud Computing · Gouvernance IT · Cybersécurité</w:t>
      </w:r>
    </w:p>
    <w:p w14:paraId="65D4AA9F" w14:textId="77777777" w:rsidR="009C37E0" w:rsidRPr="00E80B43" w:rsidRDefault="009C37E0">
      <w:pPr>
        <w:spacing w:after="60"/>
        <w:rPr>
          <w:rFonts w:ascii="Times New Roman" w:hAnsi="Times New Roman" w:cs="Times New Roman"/>
          <w:color w:val="auto"/>
          <w:sz w:val="24"/>
          <w:szCs w:val="24"/>
        </w:rPr>
      </w:pPr>
    </w:p>
    <w:p w14:paraId="288C7BD1" w14:textId="77777777" w:rsidR="009C37E0" w:rsidRPr="00E80B43" w:rsidRDefault="009C37E0">
      <w:pPr>
        <w:pBdr>
          <w:bottom w:val="single" w:sz="8" w:space="1" w:color="012B50"/>
        </w:pBdr>
        <w:spacing w:before="160" w:after="160"/>
        <w:rPr>
          <w:rFonts w:ascii="Times New Roman" w:hAnsi="Times New Roman" w:cs="Times New Roman"/>
          <w:color w:val="auto"/>
          <w:sz w:val="24"/>
          <w:szCs w:val="24"/>
        </w:rPr>
      </w:pPr>
    </w:p>
    <w:p w14:paraId="3076BF58" w14:textId="77777777" w:rsidR="009C37E0" w:rsidRPr="00E80B43" w:rsidRDefault="009C37E0">
      <w:pPr>
        <w:spacing w:after="200"/>
        <w:rPr>
          <w:rFonts w:ascii="Times New Roman" w:hAnsi="Times New Roman" w:cs="Times New Roman"/>
          <w:color w:val="auto"/>
          <w:sz w:val="24"/>
          <w:szCs w:val="24"/>
        </w:rPr>
      </w:pPr>
    </w:p>
    <w:p w14:paraId="56975235" w14:textId="77777777" w:rsidR="009C37E0" w:rsidRPr="00E80B43" w:rsidRDefault="00000000" w:rsidP="005E5B52">
      <w:pPr>
        <w:pStyle w:val="Titre1"/>
        <w:rPr>
          <w:rFonts w:ascii="Times New Roman" w:hAnsi="Times New Roman" w:cs="Times New Roman"/>
          <w:color w:val="auto"/>
        </w:rPr>
      </w:pPr>
      <w:r w:rsidRPr="00E80B43">
        <w:rPr>
          <w:rFonts w:ascii="Times New Roman" w:hAnsi="Times New Roman" w:cs="Times New Roman"/>
          <w:color w:val="auto"/>
        </w:rPr>
        <w:t>PRÉAMBULE — Axe directeur &amp; contrainte centrale</w:t>
      </w:r>
    </w:p>
    <w:p w14:paraId="0639A0C9" w14:textId="77777777" w:rsidR="009C37E0" w:rsidRPr="00E80B43" w:rsidRDefault="009C37E0">
      <w:pPr>
        <w:spacing w:after="80"/>
        <w:rPr>
          <w:rFonts w:ascii="Times New Roman" w:hAnsi="Times New Roman" w:cs="Times New Roman"/>
          <w:color w:val="auto"/>
          <w:sz w:val="24"/>
          <w:szCs w:val="24"/>
        </w:rPr>
      </w:pPr>
    </w:p>
    <w:p w14:paraId="6BD9F737" w14:textId="77777777" w:rsidR="009C37E0" w:rsidRPr="00E80B43" w:rsidRDefault="00000000" w:rsidP="005E5B52">
      <w:pPr>
        <w:pStyle w:val="Titre2"/>
        <w:rPr>
          <w:rFonts w:ascii="Times New Roman" w:hAnsi="Times New Roman" w:cs="Times New Roman"/>
          <w:color w:val="auto"/>
        </w:rPr>
      </w:pPr>
      <w:r w:rsidRPr="00E80B43">
        <w:rPr>
          <w:rFonts w:ascii="Times New Roman" w:hAnsi="Times New Roman" w:cs="Times New Roman"/>
          <w:color w:val="auto"/>
        </w:rPr>
        <w:t>Problème fondateur commun à tous les thèmes</w:t>
      </w:r>
    </w:p>
    <w:p w14:paraId="23EDDBAA" w14:textId="3440DE6E"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Le postulat de départ non négociable est le suivant : toute solution proposée doit briser la corrélation classique entre niveau de sécurité, coût et complexité opérationnelle. La littérature académique et l'industrie ont longtemps accepté comme inéluctable le principe selon lequel renforcer la sécurité d'un système implique nécessairement d'investir davantage et d'accroître sa complexité de gestion. Cette logique exclut structurellement les petites et moyennes entreprises, les administrations à budget contraint, et l'ensemble des organisations des pays en développement.</w:t>
      </w:r>
    </w:p>
    <w:p w14:paraId="5959CCB9"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Les cinq thèmes présentés dans ce document répondent à cette contrainte en cherchant des points de bascule technologiques où la composition intelligente d'outils open source, l'automatisation déclarative et la rigueur formelle produisent une sécurité asymétrique : un gain de protection disproportionné par rapport aux ressources engagées.</w:t>
      </w:r>
    </w:p>
    <w:p w14:paraId="650FCB84" w14:textId="77777777" w:rsidR="009C37E0" w:rsidRPr="00E80B43" w:rsidRDefault="009C37E0">
      <w:pPr>
        <w:spacing w:after="80"/>
        <w:rPr>
          <w:rFonts w:ascii="Times New Roman" w:hAnsi="Times New Roman" w:cs="Times New Roman"/>
          <w:color w:val="auto"/>
          <w:sz w:val="24"/>
          <w:szCs w:val="24"/>
        </w:rPr>
      </w:pPr>
    </w:p>
    <w:p w14:paraId="29FF7FE4" w14:textId="77777777" w:rsidR="009C37E0" w:rsidRPr="00E80B43" w:rsidRDefault="00000000" w:rsidP="005E5B52">
      <w:pPr>
        <w:pStyle w:val="Titre2"/>
        <w:rPr>
          <w:rFonts w:ascii="Times New Roman" w:hAnsi="Times New Roman" w:cs="Times New Roman"/>
          <w:color w:val="auto"/>
        </w:rPr>
      </w:pPr>
      <w:r w:rsidRPr="00E80B43">
        <w:rPr>
          <w:rFonts w:ascii="Times New Roman" w:hAnsi="Times New Roman" w:cs="Times New Roman"/>
          <w:color w:val="auto"/>
        </w:rPr>
        <w:t>Critères de sélection appliqués</w:t>
      </w:r>
    </w:p>
    <w:p w14:paraId="49DA07B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Problème réel, non résolu ou insuffisamment traité dans la littérature récente (2018–2024)</w:t>
      </w:r>
    </w:p>
    <w:p w14:paraId="4C6813E3"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Implémentable sur infrastructure réelle (Proxmox, GNS3, Mininet, OpenStack, k3s)</w:t>
      </w:r>
    </w:p>
    <w:p w14:paraId="4FCFBBB6"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Fort potentiel de publication en rang A ou conférence IEEE / ACM / Elsevier</w:t>
      </w:r>
    </w:p>
    <w:p w14:paraId="6F61238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Stack technologique 100 % open source ou quasi-libre (Keycloak, OPA, Wazuh, Neo4j, Z3…)</w:t>
      </w:r>
    </w:p>
    <w:p w14:paraId="7C9E1B1C"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Applicable dans des contextes à faibles ressources (PME, administrations, pays en développement)</w:t>
      </w:r>
    </w:p>
    <w:p w14:paraId="5882EC3E" w14:textId="77777777" w:rsidR="009C37E0" w:rsidRPr="00E80B43" w:rsidRDefault="009C37E0">
      <w:pPr>
        <w:spacing w:after="120"/>
        <w:rPr>
          <w:rFonts w:ascii="Times New Roman" w:hAnsi="Times New Roman" w:cs="Times New Roman"/>
          <w:color w:val="auto"/>
          <w:sz w:val="24"/>
          <w:szCs w:val="24"/>
        </w:rPr>
      </w:pPr>
    </w:p>
    <w:p w14:paraId="31ADF61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br w:type="page"/>
      </w:r>
    </w:p>
    <w:p w14:paraId="79C6BBF3" w14:textId="77777777" w:rsidR="009C37E0" w:rsidRPr="00E80B43" w:rsidRDefault="00000000" w:rsidP="005E5B52">
      <w:pPr>
        <w:pStyle w:val="Titre1"/>
        <w:rPr>
          <w:rFonts w:ascii="Times New Roman" w:hAnsi="Times New Roman" w:cs="Times New Roman"/>
          <w:color w:val="auto"/>
        </w:rPr>
      </w:pPr>
      <w:r w:rsidRPr="00E80B43">
        <w:rPr>
          <w:rFonts w:ascii="Times New Roman" w:hAnsi="Times New Roman" w:cs="Times New Roman"/>
          <w:color w:val="auto"/>
        </w:rPr>
        <w:lastRenderedPageBreak/>
        <w:t>SYNTHÈSE COMPARATIVE — Vue d'ensemble des 5 thèmes</w:t>
      </w:r>
    </w:p>
    <w:p w14:paraId="2AF5204C"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Le tableau ci-dessous présente une évaluation comparative sur six dimensions clés. Les thèmes sont classés du plus innovant au plus rapidement faisable, conformément à la logique de priorisation retenue.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
        <w:gridCol w:w="2295"/>
        <w:gridCol w:w="1691"/>
        <w:gridCol w:w="1521"/>
        <w:gridCol w:w="1347"/>
        <w:gridCol w:w="1771"/>
      </w:tblGrid>
      <w:tr w:rsidR="00E80B43" w:rsidRPr="00E80B43" w14:paraId="1142DB9A" w14:textId="77777777" w:rsidTr="006461C8">
        <w:tc>
          <w:tcPr>
            <w:tcW w:w="401" w:type="dxa"/>
          </w:tcPr>
          <w:p w14:paraId="1A6D2BD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w:t>
            </w:r>
          </w:p>
        </w:tc>
        <w:tc>
          <w:tcPr>
            <w:tcW w:w="2295" w:type="dxa"/>
          </w:tcPr>
          <w:p w14:paraId="69387E5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Thème condensé</w:t>
            </w:r>
          </w:p>
        </w:tc>
        <w:tc>
          <w:tcPr>
            <w:tcW w:w="1691" w:type="dxa"/>
          </w:tcPr>
          <w:p w14:paraId="3753031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Domaine</w:t>
            </w:r>
          </w:p>
        </w:tc>
        <w:tc>
          <w:tcPr>
            <w:tcW w:w="1521" w:type="dxa"/>
          </w:tcPr>
          <w:p w14:paraId="06AAEB3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Innovativité</w:t>
            </w:r>
          </w:p>
        </w:tc>
        <w:tc>
          <w:tcPr>
            <w:tcW w:w="1347" w:type="dxa"/>
          </w:tcPr>
          <w:p w14:paraId="660D7C1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Faisabilité</w:t>
            </w:r>
          </w:p>
        </w:tc>
        <w:tc>
          <w:tcPr>
            <w:tcW w:w="1771" w:type="dxa"/>
          </w:tcPr>
          <w:p w14:paraId="2E5F18B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Venue cible</w:t>
            </w:r>
          </w:p>
        </w:tc>
      </w:tr>
      <w:tr w:rsidR="00E80B43" w:rsidRPr="00E80B43" w14:paraId="656A7A7D" w14:textId="77777777" w:rsidTr="006461C8">
        <w:tc>
          <w:tcPr>
            <w:tcW w:w="401" w:type="dxa"/>
          </w:tcPr>
          <w:p w14:paraId="4CEF573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w:t>
            </w:r>
          </w:p>
        </w:tc>
        <w:tc>
          <w:tcPr>
            <w:tcW w:w="2295" w:type="dxa"/>
          </w:tcPr>
          <w:p w14:paraId="14F2DD7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ZTA Frugale (Keycloak + OPA + eBPF)</w:t>
            </w:r>
          </w:p>
        </w:tc>
        <w:tc>
          <w:tcPr>
            <w:tcW w:w="1691" w:type="dxa"/>
          </w:tcPr>
          <w:p w14:paraId="4427B07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IAM · ZTA · DevSecOps</w:t>
            </w:r>
          </w:p>
        </w:tc>
        <w:tc>
          <w:tcPr>
            <w:tcW w:w="1521" w:type="dxa"/>
          </w:tcPr>
          <w:p w14:paraId="41A9BDF1"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347" w:type="dxa"/>
          </w:tcPr>
          <w:p w14:paraId="27E891EE"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771" w:type="dxa"/>
          </w:tcPr>
          <w:p w14:paraId="203326F6"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IEEE S&amp;P / ACM CCS</w:t>
            </w:r>
          </w:p>
        </w:tc>
      </w:tr>
      <w:tr w:rsidR="00E80B43" w:rsidRPr="00E80B43" w14:paraId="261997D8" w14:textId="77777777" w:rsidTr="006461C8">
        <w:tc>
          <w:tcPr>
            <w:tcW w:w="401" w:type="dxa"/>
          </w:tcPr>
          <w:p w14:paraId="40EA066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w:t>
            </w:r>
          </w:p>
        </w:tc>
        <w:tc>
          <w:tcPr>
            <w:tcW w:w="2295" w:type="dxa"/>
          </w:tcPr>
          <w:p w14:paraId="6D051E1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APT par Graphes Causaux (Wazuh + Neo4j + Sigma)</w:t>
            </w:r>
          </w:p>
        </w:tc>
        <w:tc>
          <w:tcPr>
            <w:tcW w:w="1691" w:type="dxa"/>
          </w:tcPr>
          <w:p w14:paraId="786170A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SIEM · IDS · Cloud hybride</w:t>
            </w:r>
          </w:p>
        </w:tc>
        <w:tc>
          <w:tcPr>
            <w:tcW w:w="1521" w:type="dxa"/>
          </w:tcPr>
          <w:p w14:paraId="4D2B1447"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347" w:type="dxa"/>
          </w:tcPr>
          <w:p w14:paraId="08B5B366"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771" w:type="dxa"/>
          </w:tcPr>
          <w:p w14:paraId="3DB00E1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TIFS / NDSS</w:t>
            </w:r>
          </w:p>
        </w:tc>
      </w:tr>
      <w:tr w:rsidR="00E80B43" w:rsidRPr="00E80B43" w14:paraId="5A2A4E73" w14:textId="77777777" w:rsidTr="006461C8">
        <w:tc>
          <w:tcPr>
            <w:tcW w:w="401" w:type="dxa"/>
          </w:tcPr>
          <w:p w14:paraId="3EE30D3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3</w:t>
            </w:r>
          </w:p>
        </w:tc>
        <w:tc>
          <w:tcPr>
            <w:tcW w:w="2295" w:type="dxa"/>
          </w:tcPr>
          <w:p w14:paraId="277FB9D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IaC + Vérification Formelle (Z3 + OPA + Terraform)</w:t>
            </w:r>
          </w:p>
        </w:tc>
        <w:tc>
          <w:tcPr>
            <w:tcW w:w="1691" w:type="dxa"/>
          </w:tcPr>
          <w:p w14:paraId="6A0987C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DevSecOps · Cloud Sec</w:t>
            </w:r>
          </w:p>
        </w:tc>
        <w:tc>
          <w:tcPr>
            <w:tcW w:w="1521" w:type="dxa"/>
          </w:tcPr>
          <w:p w14:paraId="0AA9F3B9"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347" w:type="dxa"/>
          </w:tcPr>
          <w:p w14:paraId="34F7B64E"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771" w:type="dxa"/>
          </w:tcPr>
          <w:p w14:paraId="1E19ADB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TSE / ACM CCS</w:t>
            </w:r>
          </w:p>
        </w:tc>
      </w:tr>
      <w:tr w:rsidR="00E80B43" w:rsidRPr="00E80B43" w14:paraId="7792EDC3" w14:textId="77777777" w:rsidTr="006461C8">
        <w:tc>
          <w:tcPr>
            <w:tcW w:w="401" w:type="dxa"/>
          </w:tcPr>
          <w:p w14:paraId="24106D1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4</w:t>
            </w:r>
          </w:p>
        </w:tc>
        <w:tc>
          <w:tcPr>
            <w:tcW w:w="2295" w:type="dxa"/>
          </w:tcPr>
          <w:p w14:paraId="2536DB7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PUF Léger + Bloom Filter (IIoT / microcontrôleurs)</w:t>
            </w:r>
          </w:p>
        </w:tc>
        <w:tc>
          <w:tcPr>
            <w:tcW w:w="1691" w:type="dxa"/>
          </w:tcPr>
          <w:p w14:paraId="448EF7B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Cryptographie · IoT industriel</w:t>
            </w:r>
          </w:p>
        </w:tc>
        <w:tc>
          <w:tcPr>
            <w:tcW w:w="1521" w:type="dxa"/>
          </w:tcPr>
          <w:p w14:paraId="3BC309BE"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347" w:type="dxa"/>
          </w:tcPr>
          <w:p w14:paraId="44599012"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771" w:type="dxa"/>
          </w:tcPr>
          <w:p w14:paraId="3AF8D86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TIFS / CHES</w:t>
            </w:r>
          </w:p>
        </w:tc>
      </w:tr>
      <w:tr w:rsidR="00E80B43" w:rsidRPr="00E80B43" w14:paraId="4FFCA238" w14:textId="77777777" w:rsidTr="006461C8">
        <w:tc>
          <w:tcPr>
            <w:tcW w:w="401" w:type="dxa"/>
          </w:tcPr>
          <w:p w14:paraId="5AB845D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5</w:t>
            </w:r>
          </w:p>
        </w:tc>
        <w:tc>
          <w:tcPr>
            <w:tcW w:w="2295" w:type="dxa"/>
          </w:tcPr>
          <w:p w14:paraId="6A5BB6B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Conformité Continue ISO 27001 (OSCAL + OPA + Wazuh)</w:t>
            </w:r>
          </w:p>
        </w:tc>
        <w:tc>
          <w:tcPr>
            <w:tcW w:w="1691" w:type="dxa"/>
          </w:tcPr>
          <w:p w14:paraId="5B7EAA5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Gouvernance IT · GRC</w:t>
            </w:r>
          </w:p>
        </w:tc>
        <w:tc>
          <w:tcPr>
            <w:tcW w:w="1521" w:type="dxa"/>
          </w:tcPr>
          <w:p w14:paraId="25595CC4"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347" w:type="dxa"/>
          </w:tcPr>
          <w:p w14:paraId="70489588"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771" w:type="dxa"/>
          </w:tcPr>
          <w:p w14:paraId="2B9D637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Computers &amp; Security / IEEE TNSM</w:t>
            </w:r>
          </w:p>
        </w:tc>
      </w:tr>
    </w:tbl>
    <w:p w14:paraId="29E812B7" w14:textId="77777777" w:rsidR="009C37E0" w:rsidRPr="00E80B43" w:rsidRDefault="009C37E0">
      <w:pPr>
        <w:spacing w:after="120"/>
        <w:rPr>
          <w:rFonts w:ascii="Times New Roman" w:hAnsi="Times New Roman" w:cs="Times New Roman"/>
          <w:color w:val="auto"/>
          <w:sz w:val="24"/>
          <w:szCs w:val="24"/>
        </w:rPr>
      </w:pPr>
    </w:p>
    <w:p w14:paraId="4722BE30"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6461C8">
        <w:rPr>
          <w:rFonts w:ascii="Times New Roman" w:hAnsi="Times New Roman" w:cs="Times New Roman"/>
          <w:b/>
          <w:bCs/>
          <w:color w:val="auto"/>
          <w:sz w:val="24"/>
          <w:szCs w:val="24"/>
        </w:rPr>
        <w:t>Note de lecture</w:t>
      </w:r>
      <w:r w:rsidRPr="00E80B43">
        <w:rPr>
          <w:rFonts w:ascii="Times New Roman" w:hAnsi="Times New Roman" w:cs="Times New Roman"/>
          <w:color w:val="auto"/>
          <w:sz w:val="24"/>
          <w:szCs w:val="24"/>
        </w:rPr>
        <w:t xml:space="preserve"> : l'innovativité mesure le degré de nouveauté scientifique (gap dans la littérature, combinaison inédite). La faisabilité mesure la capacité à produire des résultats expérimentaux solides dans un délai de 3 à 8 mois avec les ressources d'un laboratoire standard.</w:t>
      </w:r>
    </w:p>
    <w:p w14:paraId="1AE70AC3" w14:textId="77777777" w:rsidR="009C37E0" w:rsidRPr="00E80B43" w:rsidRDefault="009C37E0">
      <w:pPr>
        <w:spacing w:after="80"/>
        <w:rPr>
          <w:rFonts w:ascii="Times New Roman" w:hAnsi="Times New Roman" w:cs="Times New Roman"/>
          <w:color w:val="auto"/>
          <w:sz w:val="24"/>
          <w:szCs w:val="24"/>
        </w:rPr>
      </w:pPr>
    </w:p>
    <w:p w14:paraId="5A0D8C22" w14:textId="77777777" w:rsidR="009C37E0" w:rsidRPr="00E80B43" w:rsidRDefault="009C37E0">
      <w:pPr>
        <w:spacing w:after="120"/>
        <w:rPr>
          <w:rFonts w:ascii="Times New Roman" w:hAnsi="Times New Roman" w:cs="Times New Roman"/>
          <w:color w:val="auto"/>
          <w:sz w:val="24"/>
          <w:szCs w:val="24"/>
        </w:rPr>
      </w:pPr>
    </w:p>
    <w:p w14:paraId="54C5C85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br w:type="page"/>
      </w:r>
    </w:p>
    <w:p w14:paraId="42A3C98F" w14:textId="6DDAE84C" w:rsidR="009C37E0" w:rsidRPr="00E80B43" w:rsidRDefault="00000000" w:rsidP="00FB01BD">
      <w:pPr>
        <w:pStyle w:val="Titre1"/>
        <w:rPr>
          <w:rFonts w:ascii="Times New Roman" w:hAnsi="Times New Roman" w:cs="Times New Roman"/>
          <w:color w:val="auto"/>
        </w:rPr>
      </w:pPr>
      <w:r w:rsidRPr="00E80B43">
        <w:rPr>
          <w:rFonts w:ascii="Times New Roman" w:hAnsi="Times New Roman" w:cs="Times New Roman"/>
          <w:color w:val="auto"/>
        </w:rPr>
        <w:lastRenderedPageBreak/>
        <w:t xml:space="preserve">THÈME 1 </w:t>
      </w:r>
    </w:p>
    <w:p w14:paraId="68AA3BC4" w14:textId="050F2375" w:rsidR="00704FA6" w:rsidRPr="00E80B43" w:rsidRDefault="00A07658" w:rsidP="00FB01BD">
      <w:pPr>
        <w:pStyle w:val="Titre2"/>
        <w:rPr>
          <w:rFonts w:ascii="Times New Roman" w:hAnsi="Times New Roman" w:cs="Times New Roman"/>
          <w:color w:val="auto"/>
        </w:rPr>
      </w:pPr>
      <w:r w:rsidRPr="00E80B43">
        <w:rPr>
          <w:rFonts w:ascii="Times New Roman" w:hAnsi="Times New Roman" w:cs="Times New Roman"/>
          <w:color w:val="auto"/>
        </w:rPr>
        <w:t>A.</w:t>
      </w:r>
      <w:r w:rsidR="006461C8">
        <w:rPr>
          <w:rFonts w:ascii="Times New Roman" w:hAnsi="Times New Roman" w:cs="Times New Roman"/>
          <w:color w:val="auto"/>
        </w:rPr>
        <w:t xml:space="preserve"> </w:t>
      </w:r>
      <w:r w:rsidRPr="00E80B43">
        <w:rPr>
          <w:rFonts w:ascii="Times New Roman" w:hAnsi="Times New Roman" w:cs="Times New Roman"/>
          <w:color w:val="auto"/>
        </w:rPr>
        <w:t>Titre</w:t>
      </w:r>
      <w:r w:rsidR="006461C8">
        <w:rPr>
          <w:rFonts w:ascii="Times New Roman" w:hAnsi="Times New Roman" w:cs="Times New Roman"/>
          <w:color w:val="auto"/>
        </w:rPr>
        <w:t xml:space="preserve"> du thème</w:t>
      </w:r>
    </w:p>
    <w:p w14:paraId="7270BE58" w14:textId="232AE4E7" w:rsidR="00A07658" w:rsidRPr="008A2690" w:rsidRDefault="00A07658" w:rsidP="00A07658">
      <w:pPr>
        <w:spacing w:before="200" w:after="60"/>
        <w:rPr>
          <w:rFonts w:ascii="Times New Roman" w:hAnsi="Times New Roman" w:cs="Times New Roman"/>
          <w:color w:val="auto"/>
          <w:sz w:val="24"/>
          <w:szCs w:val="24"/>
        </w:rPr>
      </w:pPr>
      <w:r w:rsidRPr="008A2690">
        <w:rPr>
          <w:rFonts w:ascii="Times New Roman" w:hAnsi="Times New Roman" w:cs="Times New Roman"/>
          <w:color w:val="auto"/>
          <w:sz w:val="24"/>
          <w:szCs w:val="24"/>
        </w:rPr>
        <w:t>Orchestration Zero Trust Frugale par Politiques Déclaratives : Un Cadre IAM Adaptatif et Low-Cost pour Environnements Hétérogènes</w:t>
      </w:r>
    </w:p>
    <w:p w14:paraId="230D71AB" w14:textId="77777777" w:rsidR="009C37E0" w:rsidRPr="00E80B43" w:rsidRDefault="00000000" w:rsidP="00FB01BD">
      <w:pPr>
        <w:pStyle w:val="Titre2"/>
        <w:rPr>
          <w:rFonts w:ascii="Times New Roman" w:hAnsi="Times New Roman" w:cs="Times New Roman"/>
          <w:color w:val="auto"/>
        </w:rPr>
      </w:pPr>
      <w:r w:rsidRPr="00E80B43">
        <w:rPr>
          <w:rFonts w:ascii="Times New Roman" w:hAnsi="Times New Roman" w:cs="Times New Roman"/>
          <w:color w:val="auto"/>
        </w:rPr>
        <w:t>B. Problème non résolu</w:t>
      </w:r>
    </w:p>
    <w:p w14:paraId="6B84866C" w14:textId="2DBE82D4" w:rsidR="009C37E0" w:rsidRPr="00E80B43" w:rsidRDefault="00000000" w:rsidP="00FB01BD">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Les architectures Zero Trust (ZTA) sont théoriquement bien décrites (NIST SP 800-207), mais leur implémentation reste coûteuse et monolithique. Les solutions commerciales </w:t>
      </w:r>
      <w:r w:rsidR="002B2D61">
        <w:rPr>
          <w:rFonts w:ascii="Times New Roman" w:hAnsi="Times New Roman" w:cs="Times New Roman"/>
          <w:color w:val="auto"/>
          <w:sz w:val="24"/>
          <w:szCs w:val="24"/>
        </w:rPr>
        <w:t>(</w:t>
      </w:r>
      <w:r w:rsidRPr="00E80B43">
        <w:rPr>
          <w:rFonts w:ascii="Times New Roman" w:hAnsi="Times New Roman" w:cs="Times New Roman"/>
          <w:color w:val="auto"/>
          <w:sz w:val="24"/>
          <w:szCs w:val="24"/>
        </w:rPr>
        <w:t>Zscaler, Okta, BeyondCorp, Palo Alto Prisma</w:t>
      </w:r>
      <w:r w:rsidR="002B2D61">
        <w:rPr>
          <w:rFonts w:ascii="Times New Roman" w:hAnsi="Times New Roman" w:cs="Times New Roman"/>
          <w:color w:val="auto"/>
          <w:sz w:val="24"/>
          <w:szCs w:val="24"/>
        </w:rPr>
        <w:t>)</w:t>
      </w:r>
      <w:r w:rsidRPr="00E80B43">
        <w:rPr>
          <w:rFonts w:ascii="Times New Roman" w:hAnsi="Times New Roman" w:cs="Times New Roman"/>
          <w:color w:val="auto"/>
          <w:sz w:val="24"/>
          <w:szCs w:val="24"/>
        </w:rPr>
        <w:t xml:space="preserve"> supposent une infrastructure cloud mature et des budgets IT conséquents (20 à 150 USD/utilisateur/mois). Les travaux académiques sur ZTA open source ignorent quasi systématiquement la dimension économique de déploiement et la gestion dynamique des politiques dans des environnements à faibles ressources.</w:t>
      </w:r>
    </w:p>
    <w:p w14:paraId="0203CD99" w14:textId="12BAB4B5" w:rsidR="009C37E0" w:rsidRPr="00E80B43" w:rsidRDefault="00000000" w:rsidP="00FB01BD">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Les approches actuelles couplent fortement authentification, autorisation et enforcement dans des couches monolithiques, générant : (i) une rigidité architecturale, (ii) une surcharge opérationnelle liée à la gestion de règles statiques, (iii) une dépendance à des composants propriétaires pour la cohérence des politiques distribuées. Aucun travail existant ne propose un déploiement ZTA complet, reproductible et benchmarké utilisant exclusivement des outils open source avec un TCO documenté.</w:t>
      </w:r>
    </w:p>
    <w:p w14:paraId="66F32153" w14:textId="77777777" w:rsidR="009C37E0" w:rsidRPr="00E80B43" w:rsidRDefault="00000000" w:rsidP="00FB01BD">
      <w:pPr>
        <w:pStyle w:val="Titre2"/>
        <w:rPr>
          <w:rFonts w:ascii="Times New Roman" w:hAnsi="Times New Roman" w:cs="Times New Roman"/>
          <w:color w:val="auto"/>
        </w:rPr>
      </w:pPr>
      <w:r w:rsidRPr="00E80B43">
        <w:rPr>
          <w:rFonts w:ascii="Times New Roman" w:hAnsi="Times New Roman" w:cs="Times New Roman"/>
          <w:color w:val="auto"/>
        </w:rPr>
        <w:t>C. Solution innovante proposée</w:t>
      </w:r>
    </w:p>
    <w:p w14:paraId="18525695"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Conception d'un Zero Trust Policy Fabric reposant sur la composition de trois couches open source interconnectées via un protocole d'intégration formalisé :</w:t>
      </w:r>
    </w:p>
    <w:p w14:paraId="29D04C0D"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Keycloak 23+ (OIDC/SAML2, MFA natif, fédération LDAP) comme Identity Provider adaptatif — remplace Okta</w:t>
      </w:r>
    </w:p>
    <w:p w14:paraId="370251DC"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Open Policy Agent (OPA) en Rego, déployé en sidecar ou en API gateway, pour l'évaluation contextuelle des politiques — remplace les moteurs commerciaux</w:t>
      </w:r>
    </w:p>
    <w:p w14:paraId="6F0B352B"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eBPF via Cilium/Tetragon pour l'enforcement réseau au niveau noyau Linux, sans agent supplémentaire — remplace les firewalls Next-Gen</w:t>
      </w:r>
    </w:p>
    <w:p w14:paraId="5246D920" w14:textId="7E00BB1F" w:rsidR="009C37E0" w:rsidRPr="00E80B43" w:rsidRDefault="00000000" w:rsidP="00FB01BD">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Wazuh 4.7 pour le scoring de risque comportemental léger (sans ML coûteux), déclenchant dynamiquement élévations ou restrictions de droits</w:t>
      </w:r>
    </w:p>
    <w:p w14:paraId="5CC42572" w14:textId="2C2496D2" w:rsidR="009C37E0" w:rsidRPr="00E80B43" w:rsidRDefault="00000000" w:rsidP="00FB01BD">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L'originalité ne réside pas dans les outils individuels mais dans l'architecture de composition et le protocole d'intégration : un pipeline de trust scoring distribué qui agrège les signaux de ces quatre couches pour des décisions d'accès dynamiques. Ce modèle de risk-aware policy scoring open source, versionné via GitOps (auditabilité continue), n'existe pas comme artefact validé dans la littérature.</w:t>
      </w:r>
    </w:p>
    <w:p w14:paraId="6BDD6FEA" w14:textId="77777777" w:rsidR="009C37E0" w:rsidRPr="00E80B43" w:rsidRDefault="00000000" w:rsidP="00FB01BD">
      <w:pPr>
        <w:pStyle w:val="Titre2"/>
        <w:rPr>
          <w:rFonts w:ascii="Times New Roman" w:hAnsi="Times New Roman" w:cs="Times New Roman"/>
          <w:color w:val="auto"/>
        </w:rPr>
      </w:pPr>
      <w:r w:rsidRPr="00E80B43">
        <w:rPr>
          <w:rFonts w:ascii="Times New Roman" w:hAnsi="Times New Roman" w:cs="Times New Roman"/>
          <w:color w:val="auto"/>
        </w:rPr>
        <w:t>D. État de l'art &amp; gaps identifiés</w:t>
      </w: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
        <w:gridCol w:w="1670"/>
        <w:gridCol w:w="4307"/>
        <w:gridCol w:w="2126"/>
        <w:gridCol w:w="993"/>
      </w:tblGrid>
      <w:tr w:rsidR="00E80B43" w:rsidRPr="00E80B43" w14:paraId="3C4009E4" w14:textId="77777777" w:rsidTr="00654EFB">
        <w:tc>
          <w:tcPr>
            <w:tcW w:w="401" w:type="dxa"/>
          </w:tcPr>
          <w:p w14:paraId="291B4B4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w:t>
            </w:r>
          </w:p>
        </w:tc>
        <w:tc>
          <w:tcPr>
            <w:tcW w:w="1670" w:type="dxa"/>
          </w:tcPr>
          <w:p w14:paraId="1723088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Auteurs</w:t>
            </w:r>
          </w:p>
        </w:tc>
        <w:tc>
          <w:tcPr>
            <w:tcW w:w="4307" w:type="dxa"/>
          </w:tcPr>
          <w:p w14:paraId="360A1B6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Titre</w:t>
            </w:r>
          </w:p>
        </w:tc>
        <w:tc>
          <w:tcPr>
            <w:tcW w:w="2126" w:type="dxa"/>
          </w:tcPr>
          <w:p w14:paraId="3CCAE0E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Venue</w:t>
            </w:r>
          </w:p>
        </w:tc>
        <w:tc>
          <w:tcPr>
            <w:tcW w:w="993" w:type="dxa"/>
          </w:tcPr>
          <w:p w14:paraId="4E23535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Année</w:t>
            </w:r>
          </w:p>
        </w:tc>
      </w:tr>
      <w:tr w:rsidR="00E80B43" w:rsidRPr="00E80B43" w14:paraId="79A5ECB8" w14:textId="77777777" w:rsidTr="00654EFB">
        <w:tc>
          <w:tcPr>
            <w:tcW w:w="401" w:type="dxa"/>
          </w:tcPr>
          <w:p w14:paraId="7FC843E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w:t>
            </w:r>
          </w:p>
        </w:tc>
        <w:tc>
          <w:tcPr>
            <w:tcW w:w="1670" w:type="dxa"/>
          </w:tcPr>
          <w:p w14:paraId="40E1A0C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Stafford T.</w:t>
            </w:r>
          </w:p>
        </w:tc>
        <w:tc>
          <w:tcPr>
            <w:tcW w:w="4307" w:type="dxa"/>
          </w:tcPr>
          <w:p w14:paraId="2AE0C9A2"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Zero Trust Networks: Building Secure Systems in Untrusted Networks</w:t>
            </w:r>
          </w:p>
        </w:tc>
        <w:tc>
          <w:tcPr>
            <w:tcW w:w="2126" w:type="dxa"/>
          </w:tcPr>
          <w:p w14:paraId="0CA4043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O'Reilly / IEEE S&amp;P</w:t>
            </w:r>
          </w:p>
        </w:tc>
        <w:tc>
          <w:tcPr>
            <w:tcW w:w="993" w:type="dxa"/>
          </w:tcPr>
          <w:p w14:paraId="0B41E2C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6A54B8C1" w14:textId="77777777" w:rsidTr="00654EFB">
        <w:tc>
          <w:tcPr>
            <w:tcW w:w="401" w:type="dxa"/>
          </w:tcPr>
          <w:p w14:paraId="6D77356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w:t>
            </w:r>
          </w:p>
        </w:tc>
        <w:tc>
          <w:tcPr>
            <w:tcW w:w="1670" w:type="dxa"/>
          </w:tcPr>
          <w:p w14:paraId="11493D57"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Mehraj &amp; Banday</w:t>
            </w:r>
          </w:p>
        </w:tc>
        <w:tc>
          <w:tcPr>
            <w:tcW w:w="4307" w:type="dxa"/>
          </w:tcPr>
          <w:p w14:paraId="41C2E2A2"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Establishing a Zero Trust Strategy in Cloud Computing Environment</w:t>
            </w:r>
          </w:p>
        </w:tc>
        <w:tc>
          <w:tcPr>
            <w:tcW w:w="2126" w:type="dxa"/>
          </w:tcPr>
          <w:p w14:paraId="6C7D4B3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ICCIS</w:t>
            </w:r>
          </w:p>
        </w:tc>
        <w:tc>
          <w:tcPr>
            <w:tcW w:w="993" w:type="dxa"/>
          </w:tcPr>
          <w:p w14:paraId="1DBCAD6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2F949F83" w14:textId="77777777" w:rsidTr="00654EFB">
        <w:tc>
          <w:tcPr>
            <w:tcW w:w="401" w:type="dxa"/>
          </w:tcPr>
          <w:p w14:paraId="4F40C5B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3</w:t>
            </w:r>
          </w:p>
        </w:tc>
        <w:tc>
          <w:tcPr>
            <w:tcW w:w="1670" w:type="dxa"/>
          </w:tcPr>
          <w:p w14:paraId="02EEC6A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Yao et al.</w:t>
            </w:r>
          </w:p>
        </w:tc>
        <w:tc>
          <w:tcPr>
            <w:tcW w:w="4307" w:type="dxa"/>
          </w:tcPr>
          <w:p w14:paraId="1D475966"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Zero Trust Architecture: A Comprehensive Survey</w:t>
            </w:r>
          </w:p>
        </w:tc>
        <w:tc>
          <w:tcPr>
            <w:tcW w:w="2126" w:type="dxa"/>
          </w:tcPr>
          <w:p w14:paraId="553D4D0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Access</w:t>
            </w:r>
          </w:p>
        </w:tc>
        <w:tc>
          <w:tcPr>
            <w:tcW w:w="993" w:type="dxa"/>
          </w:tcPr>
          <w:p w14:paraId="2BC13ED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2024</w:t>
            </w:r>
          </w:p>
        </w:tc>
      </w:tr>
      <w:tr w:rsidR="00E80B43" w:rsidRPr="00E80B43" w14:paraId="599358C6" w14:textId="77777777" w:rsidTr="00654EFB">
        <w:tc>
          <w:tcPr>
            <w:tcW w:w="401" w:type="dxa"/>
          </w:tcPr>
          <w:p w14:paraId="73B8438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4</w:t>
            </w:r>
          </w:p>
        </w:tc>
        <w:tc>
          <w:tcPr>
            <w:tcW w:w="1670" w:type="dxa"/>
          </w:tcPr>
          <w:p w14:paraId="7F034AD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Beltran</w:t>
            </w:r>
          </w:p>
        </w:tc>
        <w:tc>
          <w:tcPr>
            <w:tcW w:w="4307" w:type="dxa"/>
          </w:tcPr>
          <w:p w14:paraId="3C5AE7F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Characterizing Zero Trust</w:t>
            </w:r>
          </w:p>
        </w:tc>
        <w:tc>
          <w:tcPr>
            <w:tcW w:w="2126" w:type="dxa"/>
          </w:tcPr>
          <w:p w14:paraId="0681715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Comm. Standards</w:t>
            </w:r>
          </w:p>
        </w:tc>
        <w:tc>
          <w:tcPr>
            <w:tcW w:w="993" w:type="dxa"/>
          </w:tcPr>
          <w:p w14:paraId="2EE6713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2021</w:t>
            </w:r>
          </w:p>
        </w:tc>
      </w:tr>
      <w:tr w:rsidR="00E80B43" w:rsidRPr="00E80B43" w14:paraId="29423B93" w14:textId="77777777" w:rsidTr="00654EFB">
        <w:tc>
          <w:tcPr>
            <w:tcW w:w="401" w:type="dxa"/>
          </w:tcPr>
          <w:p w14:paraId="04C18A6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5</w:t>
            </w:r>
          </w:p>
        </w:tc>
        <w:tc>
          <w:tcPr>
            <w:tcW w:w="1670" w:type="dxa"/>
          </w:tcPr>
          <w:p w14:paraId="0FE88A6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Catillo et al.</w:t>
            </w:r>
          </w:p>
        </w:tc>
        <w:tc>
          <w:tcPr>
            <w:tcW w:w="4307" w:type="dxa"/>
          </w:tcPr>
          <w:p w14:paraId="6711A512"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A Zero Trust Architecture for Remote Working</w:t>
            </w:r>
          </w:p>
        </w:tc>
        <w:tc>
          <w:tcPr>
            <w:tcW w:w="2126" w:type="dxa"/>
          </w:tcPr>
          <w:p w14:paraId="2AF68AB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ISCC</w:t>
            </w:r>
          </w:p>
        </w:tc>
        <w:tc>
          <w:tcPr>
            <w:tcW w:w="993" w:type="dxa"/>
          </w:tcPr>
          <w:p w14:paraId="4F346CE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2022</w:t>
            </w:r>
          </w:p>
        </w:tc>
      </w:tr>
      <w:tr w:rsidR="00E80B43" w:rsidRPr="00E80B43" w14:paraId="24BCF88A" w14:textId="77777777" w:rsidTr="00654EFB">
        <w:tc>
          <w:tcPr>
            <w:tcW w:w="401" w:type="dxa"/>
          </w:tcPr>
          <w:p w14:paraId="6CF43A9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lastRenderedPageBreak/>
              <w:t>6</w:t>
            </w:r>
          </w:p>
        </w:tc>
        <w:tc>
          <w:tcPr>
            <w:tcW w:w="1670" w:type="dxa"/>
          </w:tcPr>
          <w:p w14:paraId="7078719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Rizzardi et al.</w:t>
            </w:r>
          </w:p>
        </w:tc>
        <w:tc>
          <w:tcPr>
            <w:tcW w:w="4307" w:type="dxa"/>
          </w:tcPr>
          <w:p w14:paraId="57A9C93A"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OPA-based Policy Engine for IoT Security</w:t>
            </w:r>
          </w:p>
        </w:tc>
        <w:tc>
          <w:tcPr>
            <w:tcW w:w="2126" w:type="dxa"/>
          </w:tcPr>
          <w:p w14:paraId="2799922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IoT Journal</w:t>
            </w:r>
          </w:p>
        </w:tc>
        <w:tc>
          <w:tcPr>
            <w:tcW w:w="993" w:type="dxa"/>
          </w:tcPr>
          <w:p w14:paraId="4988EB7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2023</w:t>
            </w:r>
          </w:p>
        </w:tc>
      </w:tr>
      <w:tr w:rsidR="00E80B43" w:rsidRPr="00E80B43" w14:paraId="6904152A" w14:textId="77777777" w:rsidTr="00654EFB">
        <w:tc>
          <w:tcPr>
            <w:tcW w:w="401" w:type="dxa"/>
          </w:tcPr>
          <w:p w14:paraId="0097793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7</w:t>
            </w:r>
          </w:p>
        </w:tc>
        <w:tc>
          <w:tcPr>
            <w:tcW w:w="1670" w:type="dxa"/>
          </w:tcPr>
          <w:p w14:paraId="4E12C7F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Rose et al.</w:t>
            </w:r>
          </w:p>
        </w:tc>
        <w:tc>
          <w:tcPr>
            <w:tcW w:w="4307" w:type="dxa"/>
          </w:tcPr>
          <w:p w14:paraId="418F22E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Zero Trust Architecture (SP 800-207)</w:t>
            </w:r>
          </w:p>
        </w:tc>
        <w:tc>
          <w:tcPr>
            <w:tcW w:w="2126" w:type="dxa"/>
          </w:tcPr>
          <w:p w14:paraId="2B3AF61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NIST</w:t>
            </w:r>
          </w:p>
        </w:tc>
        <w:tc>
          <w:tcPr>
            <w:tcW w:w="993" w:type="dxa"/>
          </w:tcPr>
          <w:p w14:paraId="0FFFF26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3FBC256B" w14:textId="77777777" w:rsidTr="00654EFB">
        <w:tc>
          <w:tcPr>
            <w:tcW w:w="401" w:type="dxa"/>
          </w:tcPr>
          <w:p w14:paraId="5CACD6B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8</w:t>
            </w:r>
          </w:p>
        </w:tc>
        <w:tc>
          <w:tcPr>
            <w:tcW w:w="1670" w:type="dxa"/>
          </w:tcPr>
          <w:p w14:paraId="6DB6A20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Teerakanok et al.</w:t>
            </w:r>
          </w:p>
        </w:tc>
        <w:tc>
          <w:tcPr>
            <w:tcW w:w="4307" w:type="dxa"/>
          </w:tcPr>
          <w:p w14:paraId="12735F3C"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Migrating to Zero-Trust Architecture: Reviews and Challenges</w:t>
            </w:r>
          </w:p>
        </w:tc>
        <w:tc>
          <w:tcPr>
            <w:tcW w:w="2126" w:type="dxa"/>
          </w:tcPr>
          <w:p w14:paraId="6F192F2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Security &amp; Comm. Networks</w:t>
            </w:r>
          </w:p>
        </w:tc>
        <w:tc>
          <w:tcPr>
            <w:tcW w:w="993" w:type="dxa"/>
          </w:tcPr>
          <w:p w14:paraId="3433BBE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2021</w:t>
            </w:r>
          </w:p>
        </w:tc>
      </w:tr>
    </w:tbl>
    <w:p w14:paraId="2FF462EC" w14:textId="77777777" w:rsidR="009C37E0" w:rsidRPr="00E80B43" w:rsidRDefault="009C37E0">
      <w:pPr>
        <w:spacing w:after="80"/>
        <w:rPr>
          <w:rFonts w:ascii="Times New Roman" w:hAnsi="Times New Roman" w:cs="Times New Roman"/>
          <w:color w:val="auto"/>
          <w:sz w:val="24"/>
          <w:szCs w:val="24"/>
        </w:rPr>
      </w:pPr>
    </w:p>
    <w:p w14:paraId="4D83C489"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Gaps critiques : (i) Aucun travail ne combine OPA + eBPF + IAM open source dans une ZTA complète avec TCO documenté. (ii) La dimension frugalité économique est absente de tous les travaux existants. (iii) L'adaptation dynamique des politiques sans réécriture manuelle n'est pas traitée. (iv) Le contexte Low-Resource Environments (LRE) — PME africaines, administrations publiques, pays en développement — est structurellement ignoré.</w:t>
      </w:r>
    </w:p>
    <w:p w14:paraId="4BDEA751" w14:textId="77777777" w:rsidR="009C37E0" w:rsidRPr="00E80B43" w:rsidRDefault="00000000" w:rsidP="005271D3">
      <w:pPr>
        <w:pStyle w:val="Titre2"/>
        <w:rPr>
          <w:rFonts w:ascii="Times New Roman" w:hAnsi="Times New Roman" w:cs="Times New Roman"/>
          <w:color w:val="auto"/>
        </w:rPr>
      </w:pPr>
      <w:r w:rsidRPr="00E80B43">
        <w:rPr>
          <w:rFonts w:ascii="Times New Roman" w:hAnsi="Times New Roman" w:cs="Times New Roman"/>
          <w:color w:val="auto"/>
        </w:rPr>
        <w:t>E. Preuve d'innovativité (Novelty)</w:t>
      </w:r>
    </w:p>
    <w:p w14:paraId="37C5A831"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Contribution 1 : Formalisation d'un modèle ZTA entièrement open source, déployable sur bare metal (2 vCPU, 4 Go RAM minimum)</w:t>
      </w:r>
    </w:p>
    <w:p w14:paraId="34D22A81"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Contribution 2 : Modèle de risk-aware policy scoring basé sur des métriques Wazuh légères, sans ML</w:t>
      </w:r>
    </w:p>
    <w:p w14:paraId="7DB5745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Contribution 3 : Preuve formelle que l'enforcement eBPF réduit l'overhead réseau vs solutions agent-based (mesures comparatives)</w:t>
      </w:r>
    </w:p>
    <w:p w14:paraId="334532EC" w14:textId="2B642BD6" w:rsidR="009C37E0" w:rsidRPr="00E80B43" w:rsidRDefault="00000000" w:rsidP="005271D3">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Contribution 4 : Infrastructure as Code (Terraform + Ansible) publiée sur GitHub pour reproductibilité et audit par les reviewers</w:t>
      </w:r>
    </w:p>
    <w:p w14:paraId="455D609F" w14:textId="3CF277ED" w:rsidR="009C37E0" w:rsidRPr="00E80B43" w:rsidRDefault="00000000" w:rsidP="005271D3">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Ce thème évite les sujets saturés (« ML pour IDS », « nième revue ZTA ») en produisant une architecture implémentée, mesurée et publiable avec des artefacts reproductibles.</w:t>
      </w:r>
    </w:p>
    <w:p w14:paraId="2A509A44" w14:textId="77777777" w:rsidR="009C37E0" w:rsidRPr="00E80B43" w:rsidRDefault="00000000" w:rsidP="005271D3">
      <w:pPr>
        <w:pStyle w:val="Titre2"/>
        <w:rPr>
          <w:rFonts w:ascii="Times New Roman" w:hAnsi="Times New Roman" w:cs="Times New Roman"/>
          <w:color w:val="auto"/>
        </w:rPr>
      </w:pPr>
      <w:r w:rsidRPr="00E80B43">
        <w:rPr>
          <w:rFonts w:ascii="Times New Roman" w:hAnsi="Times New Roman" w:cs="Times New Roman"/>
          <w:color w:val="auto"/>
        </w:rPr>
        <w:t>F. Hypothèse de recherche</w:t>
      </w:r>
    </w:p>
    <w:p w14:paraId="5E1DDBC1" w14:textId="1ED3C87D" w:rsidR="009C37E0" w:rsidRPr="00E80B43" w:rsidRDefault="005271D3" w:rsidP="005271D3">
      <w:pPr>
        <w:rPr>
          <w:rFonts w:ascii="Times New Roman" w:hAnsi="Times New Roman" w:cs="Times New Roman"/>
          <w:color w:val="auto"/>
          <w:sz w:val="24"/>
          <w:szCs w:val="24"/>
        </w:rPr>
      </w:pPr>
      <w:r w:rsidRPr="00E80B43">
        <w:rPr>
          <w:rFonts w:ascii="Times New Roman" w:hAnsi="Times New Roman" w:cs="Times New Roman"/>
          <w:color w:val="auto"/>
          <w:sz w:val="24"/>
          <w:szCs w:val="24"/>
        </w:rPr>
        <w:t>Une architecture Zero Trust construite sur la composition de Keycloak, OPA et eBPF permet d'atteindre un niveau de sécurité équivalent aux solutions ZTA commerciales, avec un overhead infrastructure inférieur à 15 % et un coût de déploiement (TCO 3 ans) réduit d'au moins 70 %, tout en maintenant une latence d'authentification inférieure à 50 ms dans 95 % des cas (p95).</w:t>
      </w:r>
    </w:p>
    <w:p w14:paraId="3A8450FB" w14:textId="77777777" w:rsidR="009C37E0" w:rsidRPr="00E80B43" w:rsidRDefault="00000000" w:rsidP="005271D3">
      <w:pPr>
        <w:pStyle w:val="Titre2"/>
        <w:rPr>
          <w:rFonts w:ascii="Times New Roman" w:hAnsi="Times New Roman" w:cs="Times New Roman"/>
          <w:color w:val="auto"/>
        </w:rPr>
      </w:pPr>
      <w:r w:rsidRPr="00E80B43">
        <w:rPr>
          <w:rFonts w:ascii="Times New Roman" w:hAnsi="Times New Roman" w:cs="Times New Roman"/>
          <w:color w:val="auto"/>
        </w:rPr>
        <w:t>G. Faisabilité &amp; Méthodologie</w:t>
      </w:r>
    </w:p>
    <w:p w14:paraId="01238D2C"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Environnement : Cluster 3–5 VMs sous Proxmox ou OpenStack + Kubernetes k3s</w:t>
      </w:r>
    </w:p>
    <w:p w14:paraId="4BEB783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Outils : Keycloak 23+, OPA 0.60+, Cilium/Tetragon, Wazuh 4.7, Terraform, GitLab CI</w:t>
      </w:r>
    </w:p>
    <w:p w14:paraId="2370E99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Validation : prototype fonctionnel + tests de charge (Locust) + tests de pénétration (Metasploit, OWASP ZAP)</w:t>
      </w:r>
    </w:p>
    <w:p w14:paraId="3DBF4AC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Reproductibilité : IaC publiée pour audit par les reviewers</w:t>
      </w:r>
    </w:p>
    <w:p w14:paraId="6EA5BD11"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Durée estimée : 4 à 6 mois pour des résultats expérimentaux solides</w:t>
      </w:r>
    </w:p>
    <w:p w14:paraId="795F9398" w14:textId="77777777" w:rsidR="009C37E0" w:rsidRPr="00E80B43" w:rsidRDefault="00000000" w:rsidP="005271D3">
      <w:pPr>
        <w:pStyle w:val="Titre2"/>
        <w:rPr>
          <w:rFonts w:ascii="Times New Roman" w:hAnsi="Times New Roman" w:cs="Times New Roman"/>
          <w:color w:val="auto"/>
        </w:rPr>
      </w:pPr>
      <w:r w:rsidRPr="00E80B43">
        <w:rPr>
          <w:rFonts w:ascii="Times New Roman" w:hAnsi="Times New Roman" w:cs="Times New Roman"/>
          <w:color w:val="auto"/>
        </w:rPr>
        <w:t>H. Métriques de comparaison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992"/>
        <w:gridCol w:w="2551"/>
        <w:gridCol w:w="2268"/>
      </w:tblGrid>
      <w:tr w:rsidR="00E80B43" w:rsidRPr="00E80B43" w14:paraId="71428F35" w14:textId="77777777" w:rsidTr="00654EFB">
        <w:tc>
          <w:tcPr>
            <w:tcW w:w="3827" w:type="dxa"/>
          </w:tcPr>
          <w:p w14:paraId="62AE15E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Métrique</w:t>
            </w:r>
          </w:p>
        </w:tc>
        <w:tc>
          <w:tcPr>
            <w:tcW w:w="992" w:type="dxa"/>
          </w:tcPr>
          <w:p w14:paraId="4B8BC13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Unité</w:t>
            </w:r>
          </w:p>
        </w:tc>
        <w:tc>
          <w:tcPr>
            <w:tcW w:w="2551" w:type="dxa"/>
          </w:tcPr>
          <w:p w14:paraId="4B7F796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Baseline commerciale</w:t>
            </w:r>
          </w:p>
        </w:tc>
        <w:tc>
          <w:tcPr>
            <w:tcW w:w="2268" w:type="dxa"/>
          </w:tcPr>
          <w:p w14:paraId="74621167"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Cible solution</w:t>
            </w:r>
          </w:p>
        </w:tc>
      </w:tr>
      <w:tr w:rsidR="00E80B43" w:rsidRPr="00E80B43" w14:paraId="59E94027" w14:textId="77777777" w:rsidTr="00654EFB">
        <w:tc>
          <w:tcPr>
            <w:tcW w:w="3827" w:type="dxa"/>
          </w:tcPr>
          <w:p w14:paraId="217CC89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TCO annuel (100 utilisateurs)</w:t>
            </w:r>
          </w:p>
        </w:tc>
        <w:tc>
          <w:tcPr>
            <w:tcW w:w="992" w:type="dxa"/>
          </w:tcPr>
          <w:p w14:paraId="4B27DE5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USD</w:t>
            </w:r>
          </w:p>
        </w:tc>
        <w:tc>
          <w:tcPr>
            <w:tcW w:w="2551" w:type="dxa"/>
          </w:tcPr>
          <w:p w14:paraId="538A4E4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12 000 – 18 000</w:t>
            </w:r>
          </w:p>
        </w:tc>
        <w:tc>
          <w:tcPr>
            <w:tcW w:w="2268" w:type="dxa"/>
          </w:tcPr>
          <w:p w14:paraId="7BE9F85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2 000</w:t>
            </w:r>
          </w:p>
        </w:tc>
      </w:tr>
      <w:tr w:rsidR="00E80B43" w:rsidRPr="00E80B43" w14:paraId="627E1EC0" w14:textId="77777777" w:rsidTr="00654EFB">
        <w:tc>
          <w:tcPr>
            <w:tcW w:w="3827" w:type="dxa"/>
          </w:tcPr>
          <w:p w14:paraId="644EFF7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Latence auth moyenne</w:t>
            </w:r>
          </w:p>
        </w:tc>
        <w:tc>
          <w:tcPr>
            <w:tcW w:w="992" w:type="dxa"/>
          </w:tcPr>
          <w:p w14:paraId="45AC711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ms</w:t>
            </w:r>
          </w:p>
        </w:tc>
        <w:tc>
          <w:tcPr>
            <w:tcW w:w="2551" w:type="dxa"/>
          </w:tcPr>
          <w:p w14:paraId="037C7EC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40 – 80</w:t>
            </w:r>
          </w:p>
        </w:tc>
        <w:tc>
          <w:tcPr>
            <w:tcW w:w="2268" w:type="dxa"/>
          </w:tcPr>
          <w:p w14:paraId="5A17EA2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50</w:t>
            </w:r>
          </w:p>
        </w:tc>
      </w:tr>
      <w:tr w:rsidR="00E80B43" w:rsidRPr="00E80B43" w14:paraId="187D753B" w14:textId="77777777" w:rsidTr="00654EFB">
        <w:tc>
          <w:tcPr>
            <w:tcW w:w="3827" w:type="dxa"/>
          </w:tcPr>
          <w:p w14:paraId="1B6E840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Overhead CPU enforcement</w:t>
            </w:r>
          </w:p>
        </w:tc>
        <w:tc>
          <w:tcPr>
            <w:tcW w:w="992" w:type="dxa"/>
          </w:tcPr>
          <w:p w14:paraId="79CB663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551" w:type="dxa"/>
          </w:tcPr>
          <w:p w14:paraId="0B1E3BB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8 – 20 %</w:t>
            </w:r>
          </w:p>
        </w:tc>
        <w:tc>
          <w:tcPr>
            <w:tcW w:w="2268" w:type="dxa"/>
          </w:tcPr>
          <w:p w14:paraId="21E63B4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12 %</w:t>
            </w:r>
          </w:p>
        </w:tc>
      </w:tr>
      <w:tr w:rsidR="00E80B43" w:rsidRPr="00E80B43" w14:paraId="4F1C716C" w14:textId="77777777" w:rsidTr="00654EFB">
        <w:tc>
          <w:tcPr>
            <w:tcW w:w="3827" w:type="dxa"/>
          </w:tcPr>
          <w:p w14:paraId="200708C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Temps déploiement politique</w:t>
            </w:r>
          </w:p>
        </w:tc>
        <w:tc>
          <w:tcPr>
            <w:tcW w:w="992" w:type="dxa"/>
          </w:tcPr>
          <w:p w14:paraId="48E800B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min</w:t>
            </w:r>
          </w:p>
        </w:tc>
        <w:tc>
          <w:tcPr>
            <w:tcW w:w="2551" w:type="dxa"/>
          </w:tcPr>
          <w:p w14:paraId="07718C6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30 – 60</w:t>
            </w:r>
          </w:p>
        </w:tc>
        <w:tc>
          <w:tcPr>
            <w:tcW w:w="2268" w:type="dxa"/>
          </w:tcPr>
          <w:p w14:paraId="2A2456A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5 (GitOps)</w:t>
            </w:r>
          </w:p>
        </w:tc>
      </w:tr>
      <w:tr w:rsidR="00E80B43" w:rsidRPr="00E80B43" w14:paraId="7154F17A" w14:textId="77777777" w:rsidTr="00654EFB">
        <w:tc>
          <w:tcPr>
            <w:tcW w:w="3827" w:type="dxa"/>
          </w:tcPr>
          <w:p w14:paraId="11381DA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MTTR incident IAM</w:t>
            </w:r>
          </w:p>
        </w:tc>
        <w:tc>
          <w:tcPr>
            <w:tcW w:w="992" w:type="dxa"/>
          </w:tcPr>
          <w:p w14:paraId="30D5FB8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min</w:t>
            </w:r>
          </w:p>
        </w:tc>
        <w:tc>
          <w:tcPr>
            <w:tcW w:w="2551" w:type="dxa"/>
          </w:tcPr>
          <w:p w14:paraId="1C1EAFC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268" w:type="dxa"/>
          </w:tcPr>
          <w:p w14:paraId="6049267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mesurable &amp; &lt; 15</w:t>
            </w:r>
          </w:p>
        </w:tc>
      </w:tr>
      <w:tr w:rsidR="00E80B43" w:rsidRPr="00E80B43" w14:paraId="48B1602C" w14:textId="77777777" w:rsidTr="00654EFB">
        <w:tc>
          <w:tcPr>
            <w:tcW w:w="3827" w:type="dxa"/>
          </w:tcPr>
          <w:p w14:paraId="62C0BE2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Taux faux positifs (policy)</w:t>
            </w:r>
          </w:p>
        </w:tc>
        <w:tc>
          <w:tcPr>
            <w:tcW w:w="992" w:type="dxa"/>
          </w:tcPr>
          <w:p w14:paraId="174B6FC7"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551" w:type="dxa"/>
          </w:tcPr>
          <w:p w14:paraId="440BF31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268" w:type="dxa"/>
          </w:tcPr>
          <w:p w14:paraId="1978C1D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2 %</w:t>
            </w:r>
          </w:p>
        </w:tc>
      </w:tr>
      <w:tr w:rsidR="00E80B43" w:rsidRPr="00E80B43" w14:paraId="70CEB871" w14:textId="77777777" w:rsidTr="00654EFB">
        <w:tc>
          <w:tcPr>
            <w:tcW w:w="3827" w:type="dxa"/>
          </w:tcPr>
          <w:p w14:paraId="57C3569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Couverture NIST SP 800-207</w:t>
            </w:r>
          </w:p>
        </w:tc>
        <w:tc>
          <w:tcPr>
            <w:tcW w:w="992" w:type="dxa"/>
          </w:tcPr>
          <w:p w14:paraId="7BDED50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551" w:type="dxa"/>
          </w:tcPr>
          <w:p w14:paraId="2EA00B8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100 %</w:t>
            </w:r>
          </w:p>
        </w:tc>
        <w:tc>
          <w:tcPr>
            <w:tcW w:w="2268" w:type="dxa"/>
          </w:tcPr>
          <w:p w14:paraId="4CE7B9C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85 %</w:t>
            </w:r>
          </w:p>
        </w:tc>
      </w:tr>
    </w:tbl>
    <w:p w14:paraId="5F7CD003" w14:textId="77777777" w:rsidR="009C37E0" w:rsidRPr="00E80B43" w:rsidRDefault="00000000" w:rsidP="005271D3">
      <w:pPr>
        <w:pStyle w:val="Titre2"/>
        <w:rPr>
          <w:rFonts w:ascii="Times New Roman" w:hAnsi="Times New Roman" w:cs="Times New Roman"/>
          <w:color w:val="auto"/>
        </w:rPr>
      </w:pPr>
      <w:r w:rsidRPr="00E80B43">
        <w:rPr>
          <w:rFonts w:ascii="Times New Roman" w:hAnsi="Times New Roman" w:cs="Times New Roman"/>
          <w:color w:val="auto"/>
        </w:rPr>
        <w:lastRenderedPageBreak/>
        <w:t>I. Impact attendu</w:t>
      </w:r>
    </w:p>
    <w:p w14:paraId="5244F308"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Sécurité : ZTA accessible aux PME et administrations en Afrique subsaharienne, Asie du Sud-Est, Amérique Latine</w:t>
      </w:r>
    </w:p>
    <w:p w14:paraId="3A2C61FB"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Coûts : réduction de 70–80 % du TCO IAM sur 3 ans</w:t>
      </w:r>
    </w:p>
    <w:p w14:paraId="53B7BF7C"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Performance : enforcement réseau sans dégradation significative des applications métier</w:t>
      </w:r>
    </w:p>
    <w:p w14:paraId="07889CDC" w14:textId="2C60E17C" w:rsidR="009C37E0" w:rsidRPr="00E80B43" w:rsidRDefault="00000000" w:rsidP="005271D3">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Adoption : stack 100 % open source, sans vendor lock-in, reproductible en 48h à partir du dépôt IaC</w:t>
      </w:r>
    </w:p>
    <w:p w14:paraId="1EF65EBE" w14:textId="77777777" w:rsidR="009C37E0" w:rsidRPr="00E80B43" w:rsidRDefault="00000000" w:rsidP="005271D3">
      <w:pPr>
        <w:pStyle w:val="Titre2"/>
        <w:rPr>
          <w:rFonts w:ascii="Times New Roman" w:hAnsi="Times New Roman" w:cs="Times New Roman"/>
          <w:color w:val="auto"/>
          <w:lang w:val="en-US"/>
        </w:rPr>
      </w:pPr>
      <w:r w:rsidRPr="00E80B43">
        <w:rPr>
          <w:rFonts w:ascii="Times New Roman" w:hAnsi="Times New Roman" w:cs="Times New Roman"/>
          <w:color w:val="auto"/>
          <w:lang w:val="en-US"/>
        </w:rPr>
        <w:t>J. Mots-clés scientifiques</w:t>
      </w:r>
    </w:p>
    <w:p w14:paraId="6C9D690D" w14:textId="77777777" w:rsidR="009C37E0" w:rsidRPr="00E80B43" w:rsidRDefault="00000000">
      <w:pPr>
        <w:spacing w:before="60" w:after="60" w:line="276" w:lineRule="auto"/>
        <w:jc w:val="both"/>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Zero Trust Architecture · Identity and Access Management · Open Policy Agent · eBPF · Keycloak · Policy-as-Code · Low-Cost Security · DevSecOps · Risk-Aware Authentication · Cloud Security</w:t>
      </w:r>
    </w:p>
    <w:p w14:paraId="6DD4033E" w14:textId="77777777" w:rsidR="009C37E0" w:rsidRPr="00E80B43" w:rsidRDefault="009C37E0">
      <w:pPr>
        <w:spacing w:after="120"/>
        <w:rPr>
          <w:rFonts w:ascii="Times New Roman" w:hAnsi="Times New Roman" w:cs="Times New Roman"/>
          <w:color w:val="auto"/>
          <w:sz w:val="24"/>
          <w:szCs w:val="24"/>
          <w:lang w:val="en-US"/>
        </w:rPr>
      </w:pPr>
    </w:p>
    <w:p w14:paraId="798D5489"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br w:type="page"/>
      </w:r>
    </w:p>
    <w:p w14:paraId="3DF10514" w14:textId="2D155E0D" w:rsidR="009C37E0" w:rsidRPr="00E80B43" w:rsidRDefault="00000000" w:rsidP="00E80B43">
      <w:pPr>
        <w:pStyle w:val="Titre1"/>
        <w:rPr>
          <w:rFonts w:ascii="Times New Roman" w:hAnsi="Times New Roman" w:cs="Times New Roman"/>
          <w:color w:val="auto"/>
        </w:rPr>
      </w:pPr>
      <w:r w:rsidRPr="00E80B43">
        <w:rPr>
          <w:rFonts w:ascii="Times New Roman" w:hAnsi="Times New Roman" w:cs="Times New Roman"/>
          <w:color w:val="auto"/>
        </w:rPr>
        <w:lastRenderedPageBreak/>
        <w:t xml:space="preserve">THÈME 2 </w:t>
      </w:r>
    </w:p>
    <w:p w14:paraId="743182A0" w14:textId="77777777" w:rsidR="00DA268A" w:rsidRPr="00E80B43" w:rsidRDefault="00DA268A" w:rsidP="00DA268A">
      <w:pPr>
        <w:pStyle w:val="Titre2"/>
        <w:rPr>
          <w:rFonts w:ascii="Times New Roman" w:hAnsi="Times New Roman" w:cs="Times New Roman"/>
          <w:color w:val="auto"/>
        </w:rPr>
      </w:pPr>
      <w:r w:rsidRPr="00E80B43">
        <w:rPr>
          <w:rFonts w:ascii="Times New Roman" w:hAnsi="Times New Roman" w:cs="Times New Roman"/>
          <w:color w:val="auto"/>
        </w:rPr>
        <w:t>A.</w:t>
      </w:r>
      <w:r>
        <w:rPr>
          <w:rFonts w:ascii="Times New Roman" w:hAnsi="Times New Roman" w:cs="Times New Roman"/>
          <w:color w:val="auto"/>
        </w:rPr>
        <w:t xml:space="preserve"> </w:t>
      </w:r>
      <w:r w:rsidRPr="00E80B43">
        <w:rPr>
          <w:rFonts w:ascii="Times New Roman" w:hAnsi="Times New Roman" w:cs="Times New Roman"/>
          <w:color w:val="auto"/>
        </w:rPr>
        <w:t>Titre</w:t>
      </w:r>
      <w:r>
        <w:rPr>
          <w:rFonts w:ascii="Times New Roman" w:hAnsi="Times New Roman" w:cs="Times New Roman"/>
          <w:color w:val="auto"/>
        </w:rPr>
        <w:t xml:space="preserve"> du thème</w:t>
      </w:r>
    </w:p>
    <w:p w14:paraId="1238E80F" w14:textId="42EABB97" w:rsidR="00C806D1" w:rsidRPr="00DA268A" w:rsidRDefault="00E80B43" w:rsidP="00DA268A">
      <w:pPr>
        <w:spacing w:before="60" w:after="60" w:line="276" w:lineRule="auto"/>
        <w:jc w:val="both"/>
        <w:rPr>
          <w:rFonts w:ascii="Times New Roman" w:hAnsi="Times New Roman" w:cs="Times New Roman"/>
          <w:color w:val="auto"/>
          <w:sz w:val="24"/>
          <w:szCs w:val="24"/>
        </w:rPr>
      </w:pPr>
      <w:r w:rsidRPr="00DA268A">
        <w:rPr>
          <w:rFonts w:ascii="Times New Roman" w:hAnsi="Times New Roman" w:cs="Times New Roman"/>
          <w:color w:val="auto"/>
          <w:sz w:val="24"/>
          <w:szCs w:val="24"/>
        </w:rPr>
        <w:t>Détection d'Intrusions Multi-Couches dans les Environnements Cloud Hybrides par Corrélation d'Événements SIEM Frugale : Une Approche Basée sur les Graphes de Causalité</w:t>
      </w:r>
    </w:p>
    <w:p w14:paraId="230F2E3D"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B. Problème non résolu</w:t>
      </w:r>
    </w:p>
    <w:p w14:paraId="4365B842" w14:textId="709870E0" w:rsidR="009C37E0" w:rsidRPr="00E80B43" w:rsidRDefault="00000000" w:rsidP="00C806D1">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Les SIEM commerciaux (Splunk, Microsoft Sentinel) sont prohibitifs pour les petites structures (Splunk : ~2 000 USD/mois pour 10 GB/jour d'ingestion). Les SIEM open source (Wazuh, OSSIM) manquent de mécanismes de corrélation avancée inter-couches — réseau, application et identité — générant un taux de faux positifs supérieur à 40 % dans les environnements hybrides.</w:t>
      </w:r>
    </w:p>
    <w:p w14:paraId="305A9B10"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La corrélation par graphes de causalité (provenance graphs) est étudiée en recherche académique (HOLMES, WATSON, Unicorn) mais ces travaux requièrent des ressources computationnelles élevées (audit logs complets, ML supervisé) et aucun ne cible les environnements à faibles ressources avec des outils open source accessibles. La détection d'APT multi-étapes sans ML coûteux reste un problème ouvert pour les organisations sous-dotées.</w:t>
      </w:r>
    </w:p>
    <w:p w14:paraId="30BF6F52"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C. Solution innovante proposée</w:t>
      </w:r>
    </w:p>
    <w:p w14:paraId="3B1E5EE0"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Construction d'un Causal Graph-Based Correlation Engine au-dessus de Wazuh, exploitant trois composants complémentaires :</w:t>
      </w:r>
    </w:p>
    <w:p w14:paraId="172A992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Neo4j Community Edition comme moteur de graphe de causalité des événements de sécurité</w:t>
      </w:r>
    </w:p>
    <w:p w14:paraId="58426EF1"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Wazuh 4.7 pour la collecte et la normalisation des événements multi-sources (endpoints, réseau, conteneurs)</w:t>
      </w:r>
    </w:p>
    <w:p w14:paraId="07A7047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Sigma Rules comme couche de détection portable, open source et maintenable sans expertise ML</w:t>
      </w:r>
    </w:p>
    <w:p w14:paraId="2D633F2B"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Un algorithme de détection de sous-graphes suspects basé sur du pattern matching sur graphes orientés acycliques (DAG) — approche formelle, explicable, conforme RGPD/ISO 27001, sans données d'entraînement labellisées</w:t>
      </w:r>
    </w:p>
    <w:p w14:paraId="37227D02"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L'originalité réside dans la combinaison Wazuh + Neo4j + Sigma pour la détection d'APT multi-étapes par analyse causale — inédite dans la littérature. On évite le ML (non explicable, coûteux en données) au profit d'une approche formelle et auditables, opérable par une équipe de 2–3 personnes sans expertise SOC Tier-3.</w:t>
      </w:r>
    </w:p>
    <w:p w14:paraId="623BA9C4"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D. État de l'art &amp; gaps identifiés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1656"/>
        <w:gridCol w:w="5173"/>
        <w:gridCol w:w="1134"/>
        <w:gridCol w:w="992"/>
      </w:tblGrid>
      <w:tr w:rsidR="00E80B43" w:rsidRPr="00E80B43" w14:paraId="34F040D9" w14:textId="77777777" w:rsidTr="00654EFB">
        <w:tc>
          <w:tcPr>
            <w:tcW w:w="400" w:type="dxa"/>
          </w:tcPr>
          <w:p w14:paraId="25ECA69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w:t>
            </w:r>
          </w:p>
        </w:tc>
        <w:tc>
          <w:tcPr>
            <w:tcW w:w="1656" w:type="dxa"/>
          </w:tcPr>
          <w:p w14:paraId="02BF8EE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Auteurs</w:t>
            </w:r>
          </w:p>
        </w:tc>
        <w:tc>
          <w:tcPr>
            <w:tcW w:w="5173" w:type="dxa"/>
          </w:tcPr>
          <w:p w14:paraId="09DAEA0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Titre</w:t>
            </w:r>
          </w:p>
        </w:tc>
        <w:tc>
          <w:tcPr>
            <w:tcW w:w="1134" w:type="dxa"/>
          </w:tcPr>
          <w:p w14:paraId="2E51A0E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Venue</w:t>
            </w:r>
          </w:p>
        </w:tc>
        <w:tc>
          <w:tcPr>
            <w:tcW w:w="992" w:type="dxa"/>
          </w:tcPr>
          <w:p w14:paraId="0C97C1B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Année</w:t>
            </w:r>
          </w:p>
        </w:tc>
      </w:tr>
      <w:tr w:rsidR="00E80B43" w:rsidRPr="00E80B43" w14:paraId="7C516BD2" w14:textId="77777777" w:rsidTr="00654EFB">
        <w:tc>
          <w:tcPr>
            <w:tcW w:w="400" w:type="dxa"/>
          </w:tcPr>
          <w:p w14:paraId="7FF4841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w:t>
            </w:r>
          </w:p>
        </w:tc>
        <w:tc>
          <w:tcPr>
            <w:tcW w:w="1656" w:type="dxa"/>
          </w:tcPr>
          <w:p w14:paraId="627CFC0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Han et al.</w:t>
            </w:r>
          </w:p>
        </w:tc>
        <w:tc>
          <w:tcPr>
            <w:tcW w:w="5173" w:type="dxa"/>
          </w:tcPr>
          <w:p w14:paraId="6FDC7BB7"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Unicorn: Runtime Provenance-Based Detector for APT</w:t>
            </w:r>
          </w:p>
        </w:tc>
        <w:tc>
          <w:tcPr>
            <w:tcW w:w="1134" w:type="dxa"/>
          </w:tcPr>
          <w:p w14:paraId="7883150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NDSS</w:t>
            </w:r>
          </w:p>
        </w:tc>
        <w:tc>
          <w:tcPr>
            <w:tcW w:w="992" w:type="dxa"/>
          </w:tcPr>
          <w:p w14:paraId="57CA05E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4EDBBA37" w14:textId="77777777" w:rsidTr="00654EFB">
        <w:tc>
          <w:tcPr>
            <w:tcW w:w="400" w:type="dxa"/>
          </w:tcPr>
          <w:p w14:paraId="5AA24F9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w:t>
            </w:r>
          </w:p>
        </w:tc>
        <w:tc>
          <w:tcPr>
            <w:tcW w:w="1656" w:type="dxa"/>
          </w:tcPr>
          <w:p w14:paraId="1FD57C2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Wang et al.</w:t>
            </w:r>
          </w:p>
        </w:tc>
        <w:tc>
          <w:tcPr>
            <w:tcW w:w="5173" w:type="dxa"/>
          </w:tcPr>
          <w:p w14:paraId="5C099606"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WATSON: Abstracting Behaviors from Audit Logs</w:t>
            </w:r>
          </w:p>
        </w:tc>
        <w:tc>
          <w:tcPr>
            <w:tcW w:w="1134" w:type="dxa"/>
          </w:tcPr>
          <w:p w14:paraId="76CD4F8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NDSS</w:t>
            </w:r>
          </w:p>
        </w:tc>
        <w:tc>
          <w:tcPr>
            <w:tcW w:w="992" w:type="dxa"/>
          </w:tcPr>
          <w:p w14:paraId="3D71B93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2021</w:t>
            </w:r>
          </w:p>
        </w:tc>
      </w:tr>
      <w:tr w:rsidR="00E80B43" w:rsidRPr="00E80B43" w14:paraId="411A0A43" w14:textId="77777777" w:rsidTr="00654EFB">
        <w:tc>
          <w:tcPr>
            <w:tcW w:w="400" w:type="dxa"/>
          </w:tcPr>
          <w:p w14:paraId="5E83A92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3</w:t>
            </w:r>
          </w:p>
        </w:tc>
        <w:tc>
          <w:tcPr>
            <w:tcW w:w="1656" w:type="dxa"/>
          </w:tcPr>
          <w:p w14:paraId="7BFCD01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Milajerdi et al.</w:t>
            </w:r>
          </w:p>
        </w:tc>
        <w:tc>
          <w:tcPr>
            <w:tcW w:w="5173" w:type="dxa"/>
          </w:tcPr>
          <w:p w14:paraId="2CC933BE"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HOLMES: Real-Time APT Detection through Correlation</w:t>
            </w:r>
          </w:p>
        </w:tc>
        <w:tc>
          <w:tcPr>
            <w:tcW w:w="1134" w:type="dxa"/>
          </w:tcPr>
          <w:p w14:paraId="3DD2CAE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S&amp;P</w:t>
            </w:r>
          </w:p>
        </w:tc>
        <w:tc>
          <w:tcPr>
            <w:tcW w:w="992" w:type="dxa"/>
          </w:tcPr>
          <w:p w14:paraId="5ABDDED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2019</w:t>
            </w:r>
          </w:p>
        </w:tc>
      </w:tr>
      <w:tr w:rsidR="00E80B43" w:rsidRPr="00E80B43" w14:paraId="2FB9B8D9" w14:textId="77777777" w:rsidTr="00654EFB">
        <w:tc>
          <w:tcPr>
            <w:tcW w:w="400" w:type="dxa"/>
          </w:tcPr>
          <w:p w14:paraId="1F087C5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4</w:t>
            </w:r>
          </w:p>
        </w:tc>
        <w:tc>
          <w:tcPr>
            <w:tcW w:w="1656" w:type="dxa"/>
          </w:tcPr>
          <w:p w14:paraId="2397D55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Inam et al.</w:t>
            </w:r>
          </w:p>
        </w:tc>
        <w:tc>
          <w:tcPr>
            <w:tcW w:w="5173" w:type="dxa"/>
          </w:tcPr>
          <w:p w14:paraId="12DFAD51"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SoK: History is a Vast Early Warning System</w:t>
            </w:r>
          </w:p>
        </w:tc>
        <w:tc>
          <w:tcPr>
            <w:tcW w:w="1134" w:type="dxa"/>
          </w:tcPr>
          <w:p w14:paraId="2A08BFF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S&amp;P</w:t>
            </w:r>
          </w:p>
        </w:tc>
        <w:tc>
          <w:tcPr>
            <w:tcW w:w="992" w:type="dxa"/>
          </w:tcPr>
          <w:p w14:paraId="2CB826E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2023</w:t>
            </w:r>
          </w:p>
        </w:tc>
      </w:tr>
      <w:tr w:rsidR="00E80B43" w:rsidRPr="00E80B43" w14:paraId="6E5461DE" w14:textId="77777777" w:rsidTr="00654EFB">
        <w:tc>
          <w:tcPr>
            <w:tcW w:w="400" w:type="dxa"/>
          </w:tcPr>
          <w:p w14:paraId="02F52E8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5</w:t>
            </w:r>
          </w:p>
        </w:tc>
        <w:tc>
          <w:tcPr>
            <w:tcW w:w="1656" w:type="dxa"/>
          </w:tcPr>
          <w:p w14:paraId="1305E44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Hassan et al.</w:t>
            </w:r>
          </w:p>
        </w:tc>
        <w:tc>
          <w:tcPr>
            <w:tcW w:w="5173" w:type="dxa"/>
          </w:tcPr>
          <w:p w14:paraId="64125FD7"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Tactical Provenance Analysis for Endpoint Detection</w:t>
            </w:r>
          </w:p>
        </w:tc>
        <w:tc>
          <w:tcPr>
            <w:tcW w:w="1134" w:type="dxa"/>
          </w:tcPr>
          <w:p w14:paraId="2FF39DD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S&amp;P</w:t>
            </w:r>
          </w:p>
        </w:tc>
        <w:tc>
          <w:tcPr>
            <w:tcW w:w="992" w:type="dxa"/>
          </w:tcPr>
          <w:p w14:paraId="2FFBEA3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0BDC29CE" w14:textId="77777777" w:rsidTr="00654EFB">
        <w:tc>
          <w:tcPr>
            <w:tcW w:w="400" w:type="dxa"/>
          </w:tcPr>
          <w:p w14:paraId="363B7C7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6</w:t>
            </w:r>
          </w:p>
        </w:tc>
        <w:tc>
          <w:tcPr>
            <w:tcW w:w="1656" w:type="dxa"/>
          </w:tcPr>
          <w:p w14:paraId="2322634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Zhu et al.</w:t>
            </w:r>
          </w:p>
        </w:tc>
        <w:tc>
          <w:tcPr>
            <w:tcW w:w="5173" w:type="dxa"/>
          </w:tcPr>
          <w:p w14:paraId="79468AC7"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APTSHIELD: Stable, Efficient Real-time APT Detection</w:t>
            </w:r>
          </w:p>
        </w:tc>
        <w:tc>
          <w:tcPr>
            <w:tcW w:w="1134" w:type="dxa"/>
          </w:tcPr>
          <w:p w14:paraId="2246F027"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arXiv / CCS</w:t>
            </w:r>
          </w:p>
        </w:tc>
        <w:tc>
          <w:tcPr>
            <w:tcW w:w="992" w:type="dxa"/>
          </w:tcPr>
          <w:p w14:paraId="1677C56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2023</w:t>
            </w:r>
          </w:p>
        </w:tc>
      </w:tr>
      <w:tr w:rsidR="00E80B43" w:rsidRPr="00E80B43" w14:paraId="02204CF3" w14:textId="77777777" w:rsidTr="00654EFB">
        <w:tc>
          <w:tcPr>
            <w:tcW w:w="400" w:type="dxa"/>
          </w:tcPr>
          <w:p w14:paraId="183C7837"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lastRenderedPageBreak/>
              <w:t>7</w:t>
            </w:r>
          </w:p>
        </w:tc>
        <w:tc>
          <w:tcPr>
            <w:tcW w:w="1656" w:type="dxa"/>
          </w:tcPr>
          <w:p w14:paraId="62DC882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Ferrag et al.</w:t>
            </w:r>
          </w:p>
        </w:tc>
        <w:tc>
          <w:tcPr>
            <w:tcW w:w="5173" w:type="dxa"/>
          </w:tcPr>
          <w:p w14:paraId="41614160"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Deep Learning for Cyber Security Intrusion Detection</w:t>
            </w:r>
          </w:p>
        </w:tc>
        <w:tc>
          <w:tcPr>
            <w:tcW w:w="1134" w:type="dxa"/>
          </w:tcPr>
          <w:p w14:paraId="4B15D29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J. Info. Security</w:t>
            </w:r>
          </w:p>
        </w:tc>
        <w:tc>
          <w:tcPr>
            <w:tcW w:w="992" w:type="dxa"/>
          </w:tcPr>
          <w:p w14:paraId="1F3CFF7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bl>
    <w:p w14:paraId="7FE82A4F" w14:textId="25482013" w:rsidR="009C37E0" w:rsidRPr="00E80B43" w:rsidRDefault="00000000" w:rsidP="00C806D1">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Gaps critiques : tous ces travaux requièrent des ressources computationnelles élevées (audit logs complets sur tout le SI, ML supervisé) et ne ciblent pas les environnements sous-dotés. Aucun ne propose une implémentation open source end-to-end reproductible sur infrastructure standard (&lt; 8 Go RAM total).</w:t>
      </w:r>
    </w:p>
    <w:p w14:paraId="08AC24E5"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E. Preuve d'innovativité</w:t>
      </w:r>
    </w:p>
    <w:p w14:paraId="4F1012F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Première implémentation open source d'un moteur de corrélation causale pour APT sur stack Wazuh + Neo4j</w:t>
      </w:r>
    </w:p>
    <w:p w14:paraId="36B4B39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Approche formelle non-ML : explicable, auditables, conforme RGPD / ISO 27001</w:t>
      </w:r>
    </w:p>
    <w:p w14:paraId="4D5BBA72"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Comble un gap réel : les PME et CERT nationaux ne peuvent pas déployer HOLMES ou WATSON</w:t>
      </w:r>
    </w:p>
    <w:p w14:paraId="21854F43" w14:textId="1B507446" w:rsidR="009C37E0" w:rsidRPr="00E80B43" w:rsidRDefault="00000000" w:rsidP="00C806D1">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Cible valorisée par la communauté IEEE TIFS et NDSS : solutions légères à forte applicabilité terrain</w:t>
      </w:r>
    </w:p>
    <w:p w14:paraId="123E826D"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F. Hypothèse de recherche</w:t>
      </w:r>
    </w:p>
    <w:p w14:paraId="54F84B0B" w14:textId="4935503E" w:rsidR="009C37E0" w:rsidRPr="00E80B43" w:rsidRDefault="00C806D1">
      <w:pPr>
        <w:spacing w:after="80"/>
        <w:rPr>
          <w:rFonts w:ascii="Times New Roman" w:hAnsi="Times New Roman" w:cs="Times New Roman"/>
          <w:color w:val="auto"/>
          <w:sz w:val="24"/>
          <w:szCs w:val="24"/>
        </w:rPr>
      </w:pPr>
      <w:r w:rsidRPr="00E80B43">
        <w:rPr>
          <w:rFonts w:ascii="Times New Roman" w:hAnsi="Times New Roman" w:cs="Times New Roman"/>
          <w:color w:val="auto"/>
          <w:sz w:val="24"/>
          <w:szCs w:val="24"/>
        </w:rPr>
        <w:t>Un moteur de corrélation basé sur des graphes de causalité, implémenté sur une stack open source (Wazuh + Neo4j + Sigma), permet de détecter des APT multi-étapes avec un taux de détection (TPR) supérieur à 85 % et un taux de faux positifs (FPR) inférieur à 10 %, en consommant moins de 4 Go de RAM sur un serveur standard, sans aucun modèle ML pré-entraîné."</w:t>
      </w:r>
    </w:p>
    <w:p w14:paraId="5463C5CD"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G. Faisabilité &amp; Méthodologie</w:t>
      </w:r>
    </w:p>
    <w:p w14:paraId="12A83D64"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Environnement : GNS3 ou Mininet pour simulation réseau ; VMs Linux pour agents Wazuh</w:t>
      </w:r>
    </w:p>
    <w:p w14:paraId="5B47D8BA"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Datasets : DARPA Transparent Computing (publics) + génération synthétique d'attaques APT via Atomic Red Team (MITRE)</w:t>
      </w:r>
    </w:p>
    <w:p w14:paraId="6E5248A2"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Outils : Wazuh 4.7, Neo4j Community, Sigma Rules, Python 3.11 (algorithme de graphe)</w:t>
      </w:r>
    </w:p>
    <w:p w14:paraId="65B972B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Durée estimée : 3 à 5 mois — ratio faisabilité/impact parmi les meilleurs de la liste</w:t>
      </w:r>
    </w:p>
    <w:p w14:paraId="58565982"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H. Métriques de comparaison</w:t>
      </w:r>
    </w:p>
    <w:p w14:paraId="45EFD435" w14:textId="364F5934" w:rsidR="009C37E0" w:rsidRPr="00E80B43" w:rsidRDefault="00000000" w:rsidP="00C806D1">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TPR / FPR (F1-score) · Temps de détection moyen (MTTD, minutes) · Overhead mémoire/CPU sur serveur Wazuh · Nombre d'alertes corrélées vs alertes brutes (ratio de réduction) · Délai d'enrichissement par alerte (ms) · TCO mensuel estimé vs Splunk/Sentinel équivalent</w:t>
      </w:r>
    </w:p>
    <w:p w14:paraId="1CACDB62"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I. Impact attendu</w:t>
      </w:r>
    </w:p>
    <w:p w14:paraId="2E69082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Réduction de l'alert fatigue dans les SOC sous-dotés (ratio ciblé : -40 % d'alertes brutes)</w:t>
      </w:r>
    </w:p>
    <w:p w14:paraId="0E6BB4CA"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Détection précoce d'APT dans des environnements qui ne peuvent pas se payer HOLMES ou WATSON</w:t>
      </w:r>
    </w:p>
    <w:p w14:paraId="55036852"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Solution déployable dans les CERT nationaux des pays en développement et les DSI africaines</w:t>
      </w:r>
    </w:p>
    <w:p w14:paraId="0D402AE2" w14:textId="4A49FCDF" w:rsidR="009C37E0" w:rsidRPr="00E80B43" w:rsidRDefault="00000000" w:rsidP="00C806D1">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Contribution en open source : artefact Neo4j + Sigma + Wazuh réutilisable par la communauté</w:t>
      </w:r>
    </w:p>
    <w:p w14:paraId="71B9DB11"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J. Mots-clés scientifiques</w:t>
      </w:r>
    </w:p>
    <w:p w14:paraId="02161982"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Provenance Graphs · APT Detection · SIEM · Wazuh · Causal Correlation · Intrusion Detection · Open Source Security · Low-Resource Environments · Sigma Rules · Graph-Based Detection</w:t>
      </w:r>
    </w:p>
    <w:p w14:paraId="58EB1183" w14:textId="3F0197EE" w:rsidR="009C37E0" w:rsidRPr="00E80B43" w:rsidRDefault="009C37E0">
      <w:pPr>
        <w:rPr>
          <w:rFonts w:ascii="Times New Roman" w:hAnsi="Times New Roman" w:cs="Times New Roman"/>
          <w:color w:val="auto"/>
          <w:sz w:val="24"/>
          <w:szCs w:val="24"/>
        </w:rPr>
      </w:pPr>
    </w:p>
    <w:p w14:paraId="4D0BA236" w14:textId="13351E08" w:rsidR="009C37E0" w:rsidRPr="00E80B43" w:rsidRDefault="00000000" w:rsidP="00144F64">
      <w:pPr>
        <w:pStyle w:val="Titre1"/>
        <w:rPr>
          <w:rFonts w:ascii="Times New Roman" w:hAnsi="Times New Roman" w:cs="Times New Roman"/>
          <w:color w:val="auto"/>
        </w:rPr>
      </w:pPr>
      <w:r w:rsidRPr="00E80B43">
        <w:rPr>
          <w:rFonts w:ascii="Times New Roman" w:hAnsi="Times New Roman" w:cs="Times New Roman"/>
          <w:color w:val="auto"/>
        </w:rPr>
        <w:lastRenderedPageBreak/>
        <w:t xml:space="preserve">THÈME 3 </w:t>
      </w:r>
    </w:p>
    <w:p w14:paraId="2771EA96" w14:textId="77777777" w:rsidR="00654EFB" w:rsidRPr="00E80B43" w:rsidRDefault="00654EFB" w:rsidP="00654EFB">
      <w:pPr>
        <w:pStyle w:val="Titre2"/>
        <w:rPr>
          <w:rFonts w:ascii="Times New Roman" w:hAnsi="Times New Roman" w:cs="Times New Roman"/>
          <w:color w:val="auto"/>
        </w:rPr>
      </w:pPr>
      <w:r w:rsidRPr="00E80B43">
        <w:rPr>
          <w:rFonts w:ascii="Times New Roman" w:hAnsi="Times New Roman" w:cs="Times New Roman"/>
          <w:color w:val="auto"/>
        </w:rPr>
        <w:t>A.</w:t>
      </w:r>
      <w:r>
        <w:rPr>
          <w:rFonts w:ascii="Times New Roman" w:hAnsi="Times New Roman" w:cs="Times New Roman"/>
          <w:color w:val="auto"/>
        </w:rPr>
        <w:t xml:space="preserve"> </w:t>
      </w:r>
      <w:r w:rsidRPr="00E80B43">
        <w:rPr>
          <w:rFonts w:ascii="Times New Roman" w:hAnsi="Times New Roman" w:cs="Times New Roman"/>
          <w:color w:val="auto"/>
        </w:rPr>
        <w:t>Titre</w:t>
      </w:r>
      <w:r>
        <w:rPr>
          <w:rFonts w:ascii="Times New Roman" w:hAnsi="Times New Roman" w:cs="Times New Roman"/>
          <w:color w:val="auto"/>
        </w:rPr>
        <w:t xml:space="preserve"> du thème</w:t>
      </w:r>
    </w:p>
    <w:p w14:paraId="5E491FA1" w14:textId="77777777" w:rsidR="00C806D1" w:rsidRPr="00654EFB" w:rsidRDefault="00C806D1" w:rsidP="00C806D1">
      <w:pPr>
        <w:spacing w:before="60" w:after="120"/>
        <w:rPr>
          <w:rFonts w:ascii="Times New Roman" w:hAnsi="Times New Roman" w:cs="Times New Roman"/>
          <w:color w:val="auto"/>
          <w:sz w:val="24"/>
          <w:szCs w:val="24"/>
        </w:rPr>
      </w:pPr>
      <w:r w:rsidRPr="00654EFB">
        <w:rPr>
          <w:rFonts w:ascii="Times New Roman" w:hAnsi="Times New Roman" w:cs="Times New Roman"/>
          <w:color w:val="auto"/>
          <w:sz w:val="24"/>
          <w:szCs w:val="24"/>
        </w:rPr>
        <w:t>Infrastructure as Code Sécurisée par Vérification Formelle des Politiques : Un Cadre DevSecOps Frugal pour la Conformité Continue</w:t>
      </w:r>
    </w:p>
    <w:p w14:paraId="26373EF4"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B. Problème non résolu</w:t>
      </w:r>
    </w:p>
    <w:p w14:paraId="5A81F80F" w14:textId="7974863E" w:rsidR="009C37E0" w:rsidRPr="00E80B43" w:rsidRDefault="00000000" w:rsidP="00144F6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L'Infrastructure as Code (Terraform, Ansible) est massivement adoptée, mais la sécurité des configurations IaC reste un angle mort critique. Les outils existants (Checkov, tfsec, Terrascan) font de l'analyse statique de templates sans vérification formelle des propriétés de sécurité invariantes, ni intégration dans un cycle de conformité continue. La vérification formelle appliquée à l'IaC est quasi absente de la littérature.</w:t>
      </w:r>
    </w:p>
    <w:p w14:paraId="393CD7C1" w14:textId="7F0EE502" w:rsidR="009C37E0" w:rsidRPr="00E80B43" w:rsidRDefault="00000000" w:rsidP="00144F6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Les scanners statiques génèrent des faux positifs, ne comprennent pas le contexte d'orchestration (dépendances entre ressources), et n'offrent aucune garantie formelle de conformité. Les solutions de policy enforcement propriétaires (Sentinel de HashiCorp) sont coûteuses et créent un vendor lock-in. La misconfiguration IaC est la première cause d'incidents cloud selon Gartner (2023).</w:t>
      </w:r>
    </w:p>
    <w:p w14:paraId="6E2DD9D5"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C. Solution innovante proposée</w:t>
      </w:r>
    </w:p>
    <w:p w14:paraId="700AAE99"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Cadre de Formal Policy Verification for IaC combinant :</w:t>
      </w:r>
    </w:p>
    <w:p w14:paraId="64D904E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OPA/Rego : expression des politiques de sécurité comme contraintes formelles et versionables</w:t>
      </w:r>
    </w:p>
    <w:p w14:paraId="749E5D0C"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Z3 Theorem Prover (SMT solver Microsoft Research, open source) : vérification formelle que les templates Terraform satisfont les politiques avant déploiement</w:t>
      </w:r>
    </w:p>
    <w:p w14:paraId="7A647F9B"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GitHub Actions / GitLab CI : intégration dans le pipeline DevSecOps (shift-left maximal — la sécurité est vérifiée avant le merge, pas après le déploiement)</w:t>
      </w:r>
    </w:p>
    <w:p w14:paraId="6117D8C9" w14:textId="489E23D0" w:rsidR="009C37E0" w:rsidRPr="00E80B43" w:rsidRDefault="00000000" w:rsidP="00144F64">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Génération automatique de contre-exemples : quand une politique est violée, le système génère un exemple concret de configuration non conforme, facilitant la correction</w:t>
      </w:r>
    </w:p>
    <w:p w14:paraId="6AE48FBA"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L'originalité centrale est la transposition de techniques de formal methods — utilisées historiquement en vérification de circuits électroniques et de protocoles cryptographiques — au domaine DevSecOps IaC. Cette transposition est inédite dans la littérature.</w:t>
      </w:r>
    </w:p>
    <w:p w14:paraId="63FA00B6"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D. État de l'art &amp; gaps identifiés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1867"/>
        <w:gridCol w:w="4253"/>
        <w:gridCol w:w="2126"/>
        <w:gridCol w:w="992"/>
      </w:tblGrid>
      <w:tr w:rsidR="00E80B43" w:rsidRPr="00E80B43" w14:paraId="7316B3CC" w14:textId="77777777" w:rsidTr="00654EFB">
        <w:tc>
          <w:tcPr>
            <w:tcW w:w="400" w:type="dxa"/>
          </w:tcPr>
          <w:p w14:paraId="08FA232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w:t>
            </w:r>
          </w:p>
        </w:tc>
        <w:tc>
          <w:tcPr>
            <w:tcW w:w="1867" w:type="dxa"/>
          </w:tcPr>
          <w:p w14:paraId="7F24661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Auteurs</w:t>
            </w:r>
          </w:p>
        </w:tc>
        <w:tc>
          <w:tcPr>
            <w:tcW w:w="4253" w:type="dxa"/>
          </w:tcPr>
          <w:p w14:paraId="326E4E8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Titre</w:t>
            </w:r>
          </w:p>
        </w:tc>
        <w:tc>
          <w:tcPr>
            <w:tcW w:w="2126" w:type="dxa"/>
          </w:tcPr>
          <w:p w14:paraId="4CC7BC1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Venue</w:t>
            </w:r>
          </w:p>
        </w:tc>
        <w:tc>
          <w:tcPr>
            <w:tcW w:w="992" w:type="dxa"/>
          </w:tcPr>
          <w:p w14:paraId="2588259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Année</w:t>
            </w:r>
          </w:p>
        </w:tc>
      </w:tr>
      <w:tr w:rsidR="00E80B43" w:rsidRPr="00E80B43" w14:paraId="2995995A" w14:textId="77777777" w:rsidTr="00654EFB">
        <w:tc>
          <w:tcPr>
            <w:tcW w:w="400" w:type="dxa"/>
          </w:tcPr>
          <w:p w14:paraId="48FC7DD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w:t>
            </w:r>
          </w:p>
        </w:tc>
        <w:tc>
          <w:tcPr>
            <w:tcW w:w="1867" w:type="dxa"/>
          </w:tcPr>
          <w:p w14:paraId="1973733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Rahman et al.</w:t>
            </w:r>
          </w:p>
        </w:tc>
        <w:tc>
          <w:tcPr>
            <w:tcW w:w="4253" w:type="dxa"/>
          </w:tcPr>
          <w:p w14:paraId="7D172ECF"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Security Smells in Ansible and Chef Scripts</w:t>
            </w:r>
          </w:p>
        </w:tc>
        <w:tc>
          <w:tcPr>
            <w:tcW w:w="2126" w:type="dxa"/>
          </w:tcPr>
          <w:p w14:paraId="7D6BBFB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ACM TOSEM</w:t>
            </w:r>
          </w:p>
        </w:tc>
        <w:tc>
          <w:tcPr>
            <w:tcW w:w="992" w:type="dxa"/>
          </w:tcPr>
          <w:p w14:paraId="29A7E8A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2021</w:t>
            </w:r>
          </w:p>
        </w:tc>
      </w:tr>
      <w:tr w:rsidR="00E80B43" w:rsidRPr="00E80B43" w14:paraId="233655C2" w14:textId="77777777" w:rsidTr="00654EFB">
        <w:tc>
          <w:tcPr>
            <w:tcW w:w="400" w:type="dxa"/>
          </w:tcPr>
          <w:p w14:paraId="6B28D22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w:t>
            </w:r>
          </w:p>
        </w:tc>
        <w:tc>
          <w:tcPr>
            <w:tcW w:w="1867" w:type="dxa"/>
          </w:tcPr>
          <w:p w14:paraId="1812444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Guerriero et al.</w:t>
            </w:r>
          </w:p>
        </w:tc>
        <w:tc>
          <w:tcPr>
            <w:tcW w:w="4253" w:type="dxa"/>
          </w:tcPr>
          <w:p w14:paraId="0FD26795"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Adoption, Support, and Challenges of IaC</w:t>
            </w:r>
          </w:p>
        </w:tc>
        <w:tc>
          <w:tcPr>
            <w:tcW w:w="2126" w:type="dxa"/>
          </w:tcPr>
          <w:p w14:paraId="15DC886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ICSME</w:t>
            </w:r>
          </w:p>
        </w:tc>
        <w:tc>
          <w:tcPr>
            <w:tcW w:w="992" w:type="dxa"/>
          </w:tcPr>
          <w:p w14:paraId="4869F05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2019</w:t>
            </w:r>
          </w:p>
        </w:tc>
      </w:tr>
      <w:tr w:rsidR="00E80B43" w:rsidRPr="00E80B43" w14:paraId="0376777C" w14:textId="77777777" w:rsidTr="00654EFB">
        <w:tc>
          <w:tcPr>
            <w:tcW w:w="400" w:type="dxa"/>
          </w:tcPr>
          <w:p w14:paraId="7684BBA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3</w:t>
            </w:r>
          </w:p>
        </w:tc>
        <w:tc>
          <w:tcPr>
            <w:tcW w:w="1867" w:type="dxa"/>
          </w:tcPr>
          <w:p w14:paraId="5D1F0C9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Kumara et al.</w:t>
            </w:r>
          </w:p>
        </w:tc>
        <w:tc>
          <w:tcPr>
            <w:tcW w:w="4253" w:type="dxa"/>
          </w:tcPr>
          <w:p w14:paraId="0B33F06E"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What Makes IaC Quality Assurance Hard?</w:t>
            </w:r>
          </w:p>
        </w:tc>
        <w:tc>
          <w:tcPr>
            <w:tcW w:w="2126" w:type="dxa"/>
          </w:tcPr>
          <w:p w14:paraId="629B561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IEEE/ACM ICSA</w:t>
            </w:r>
          </w:p>
        </w:tc>
        <w:tc>
          <w:tcPr>
            <w:tcW w:w="992" w:type="dxa"/>
          </w:tcPr>
          <w:p w14:paraId="7C41CD8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2021</w:t>
            </w:r>
          </w:p>
        </w:tc>
      </w:tr>
      <w:tr w:rsidR="00E80B43" w:rsidRPr="00E80B43" w14:paraId="6974B589" w14:textId="77777777" w:rsidTr="00654EFB">
        <w:tc>
          <w:tcPr>
            <w:tcW w:w="400" w:type="dxa"/>
          </w:tcPr>
          <w:p w14:paraId="72D26F7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4</w:t>
            </w:r>
          </w:p>
        </w:tc>
        <w:tc>
          <w:tcPr>
            <w:tcW w:w="1867" w:type="dxa"/>
          </w:tcPr>
          <w:p w14:paraId="0E0A200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Kinsman et al.</w:t>
            </w:r>
          </w:p>
        </w:tc>
        <w:tc>
          <w:tcPr>
            <w:tcW w:w="4253" w:type="dxa"/>
          </w:tcPr>
          <w:p w14:paraId="357AE48A"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Static Analysis for IaC Security</w:t>
            </w:r>
          </w:p>
        </w:tc>
        <w:tc>
          <w:tcPr>
            <w:tcW w:w="2126" w:type="dxa"/>
          </w:tcPr>
          <w:p w14:paraId="469E469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SecDev</w:t>
            </w:r>
          </w:p>
        </w:tc>
        <w:tc>
          <w:tcPr>
            <w:tcW w:w="992" w:type="dxa"/>
          </w:tcPr>
          <w:p w14:paraId="4107F5F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2021</w:t>
            </w:r>
          </w:p>
        </w:tc>
      </w:tr>
      <w:tr w:rsidR="00E80B43" w:rsidRPr="00E80B43" w14:paraId="64A84988" w14:textId="77777777" w:rsidTr="00654EFB">
        <w:tc>
          <w:tcPr>
            <w:tcW w:w="400" w:type="dxa"/>
          </w:tcPr>
          <w:p w14:paraId="3D6545A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5</w:t>
            </w:r>
          </w:p>
        </w:tc>
        <w:tc>
          <w:tcPr>
            <w:tcW w:w="1867" w:type="dxa"/>
          </w:tcPr>
          <w:p w14:paraId="712ECFD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Shamim et al.</w:t>
            </w:r>
          </w:p>
        </w:tc>
        <w:tc>
          <w:tcPr>
            <w:tcW w:w="4253" w:type="dxa"/>
          </w:tcPr>
          <w:p w14:paraId="2BE77A31"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XI Commandments of Kubernetes Security</w:t>
            </w:r>
          </w:p>
        </w:tc>
        <w:tc>
          <w:tcPr>
            <w:tcW w:w="2126" w:type="dxa"/>
          </w:tcPr>
          <w:p w14:paraId="6A47679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SecDev</w:t>
            </w:r>
          </w:p>
        </w:tc>
        <w:tc>
          <w:tcPr>
            <w:tcW w:w="992" w:type="dxa"/>
          </w:tcPr>
          <w:p w14:paraId="505EEC9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24633654" w14:textId="77777777" w:rsidTr="00654EFB">
        <w:tc>
          <w:tcPr>
            <w:tcW w:w="400" w:type="dxa"/>
          </w:tcPr>
          <w:p w14:paraId="2719C1F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6</w:t>
            </w:r>
          </w:p>
        </w:tc>
        <w:tc>
          <w:tcPr>
            <w:tcW w:w="1867" w:type="dxa"/>
          </w:tcPr>
          <w:p w14:paraId="22331F9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Dalla Palma et al.</w:t>
            </w:r>
          </w:p>
        </w:tc>
        <w:tc>
          <w:tcPr>
            <w:tcW w:w="4253" w:type="dxa"/>
          </w:tcPr>
          <w:p w14:paraId="1E4F84D4"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Toward a Catalogue of Software Quality Metrics for IaC</w:t>
            </w:r>
          </w:p>
        </w:tc>
        <w:tc>
          <w:tcPr>
            <w:tcW w:w="2126" w:type="dxa"/>
          </w:tcPr>
          <w:p w14:paraId="6BA7697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JSS Elsevier</w:t>
            </w:r>
          </w:p>
        </w:tc>
        <w:tc>
          <w:tcPr>
            <w:tcW w:w="992" w:type="dxa"/>
          </w:tcPr>
          <w:p w14:paraId="1086F49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2021</w:t>
            </w:r>
          </w:p>
        </w:tc>
      </w:tr>
      <w:tr w:rsidR="00E80B43" w:rsidRPr="00E80B43" w14:paraId="0756C7F0" w14:textId="77777777" w:rsidTr="00654EFB">
        <w:tc>
          <w:tcPr>
            <w:tcW w:w="400" w:type="dxa"/>
          </w:tcPr>
          <w:p w14:paraId="0D2801B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7</w:t>
            </w:r>
          </w:p>
        </w:tc>
        <w:tc>
          <w:tcPr>
            <w:tcW w:w="1867" w:type="dxa"/>
          </w:tcPr>
          <w:p w14:paraId="52D5C09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Schwartz et al.</w:t>
            </w:r>
          </w:p>
        </w:tc>
        <w:tc>
          <w:tcPr>
            <w:tcW w:w="4253" w:type="dxa"/>
          </w:tcPr>
          <w:p w14:paraId="6D4A19CC"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A DevSecOps Framework Integrating Security Testing into CI/CD</w:t>
            </w:r>
          </w:p>
        </w:tc>
        <w:tc>
          <w:tcPr>
            <w:tcW w:w="2126" w:type="dxa"/>
          </w:tcPr>
          <w:p w14:paraId="4ECCA91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QRS</w:t>
            </w:r>
          </w:p>
        </w:tc>
        <w:tc>
          <w:tcPr>
            <w:tcW w:w="992" w:type="dxa"/>
          </w:tcPr>
          <w:p w14:paraId="1C8076B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bl>
    <w:p w14:paraId="7448B730" w14:textId="6E36CC72" w:rsidR="009C37E0" w:rsidRPr="00E80B43" w:rsidRDefault="00000000" w:rsidP="00144F6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lastRenderedPageBreak/>
        <w:t>Gaps : aucun travail n'applique de vérification formelle (SMT) aux templates IaC. Les approches existantes sont heuristiques, sans garanties prouvables. Rahman détecte des smells mais ne propose pas de pipeline de remédiation formelle. L'axe shift-left avec preuves formelles est totalement inédit dans le domaine DevSecOps open source.</w:t>
      </w:r>
    </w:p>
    <w:p w14:paraId="24A8A5AD"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F. Hypothèse de recherche</w:t>
      </w:r>
    </w:p>
    <w:p w14:paraId="457EFE3D" w14:textId="71A2C937" w:rsidR="009C37E0" w:rsidRPr="00E80B43" w:rsidRDefault="00144F64">
      <w:pPr>
        <w:spacing w:after="80"/>
        <w:rPr>
          <w:rFonts w:ascii="Times New Roman" w:hAnsi="Times New Roman" w:cs="Times New Roman"/>
          <w:color w:val="auto"/>
          <w:sz w:val="24"/>
          <w:szCs w:val="24"/>
        </w:rPr>
      </w:pPr>
      <w:r w:rsidRPr="00E80B43">
        <w:rPr>
          <w:rFonts w:ascii="Times New Roman" w:hAnsi="Times New Roman" w:cs="Times New Roman"/>
          <w:color w:val="auto"/>
          <w:sz w:val="24"/>
          <w:szCs w:val="24"/>
        </w:rPr>
        <w:t>L'intégration d'un vérificateur formel basé sur Z3 dans un pipeline CI/CD DevSecOps permet de détecter 100 % des violations de politiques de sécurité critiques dans les templates IaC, avec un temps de vérification inférieur à 30 secondes pour des configurations de taille réaliste (&lt; 500 ressources), sans augmentation significative du temps de pipeline total (overhead &lt; 5 %)."</w:t>
      </w:r>
    </w:p>
    <w:p w14:paraId="33EC4D4B"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G. Faisabilité &amp; Méthodologie</w:t>
      </w:r>
    </w:p>
    <w:p w14:paraId="0B5DF5A4"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Outils : Python + Z3 (API Python), OPA, Terraform, GitHub Actions / GitLab CI</w:t>
      </w:r>
    </w:p>
    <w:p w14:paraId="2EA53B51"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Validation : corpus de templates IaC réels (GitHub public repos) + injection de failles connues référencées CVE</w:t>
      </w:r>
    </w:p>
    <w:p w14:paraId="13E168B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Comparaison : résultats vs Checkov, tfsec, Terrascan sur le même corpus</w:t>
      </w:r>
    </w:p>
    <w:p w14:paraId="3A8F5167" w14:textId="2E7F2B6A" w:rsidR="009C37E0" w:rsidRPr="00E80B43" w:rsidRDefault="00000000" w:rsidP="00144F64">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Durée estimée : 4 à 6 mois</w:t>
      </w:r>
    </w:p>
    <w:p w14:paraId="2732BF66"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H. Métriques de comparaison</w:t>
      </w:r>
    </w:p>
    <w:p w14:paraId="6000D75A" w14:textId="0400EE0D" w:rsidR="009C37E0" w:rsidRPr="00E80B43" w:rsidRDefault="00000000" w:rsidP="00144F6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Taux de détection de violations (%) · Faux positifs / négatifs · Temps de vérification (s) · Couverture des politiques CIS Benchmark · Comparaison vs Checkov/tfsec/Terrascan · Overhead pipeline CI (secondes ajoutées)</w:t>
      </w:r>
    </w:p>
    <w:p w14:paraId="1B5293A1"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J. Mots-clés scientifiques</w:t>
      </w:r>
    </w:p>
    <w:p w14:paraId="49F64B99"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Infrastructure as Code · Formal Verification · DevSecOps · SMT Solver · Policy Enforcement · Terraform · Open Policy Agent · Shift-Left Security · Compliance Automation · Cloud Security</w:t>
      </w:r>
    </w:p>
    <w:p w14:paraId="08BF0AB2" w14:textId="77777777" w:rsidR="009C37E0" w:rsidRPr="00E80B43" w:rsidRDefault="009C37E0">
      <w:pPr>
        <w:spacing w:after="120"/>
        <w:rPr>
          <w:rFonts w:ascii="Times New Roman" w:hAnsi="Times New Roman" w:cs="Times New Roman"/>
          <w:color w:val="auto"/>
          <w:sz w:val="24"/>
          <w:szCs w:val="24"/>
        </w:rPr>
      </w:pPr>
    </w:p>
    <w:p w14:paraId="240A078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br w:type="page"/>
      </w:r>
    </w:p>
    <w:p w14:paraId="2FCFE771" w14:textId="495BE540" w:rsidR="009C37E0" w:rsidRPr="00E80B43" w:rsidRDefault="00000000" w:rsidP="00156FB4">
      <w:pPr>
        <w:pStyle w:val="Titre1"/>
        <w:rPr>
          <w:rFonts w:ascii="Times New Roman" w:hAnsi="Times New Roman" w:cs="Times New Roman"/>
          <w:color w:val="auto"/>
        </w:rPr>
      </w:pPr>
      <w:r w:rsidRPr="00E80B43">
        <w:rPr>
          <w:rFonts w:ascii="Times New Roman" w:hAnsi="Times New Roman" w:cs="Times New Roman"/>
          <w:color w:val="auto"/>
        </w:rPr>
        <w:lastRenderedPageBreak/>
        <w:t xml:space="preserve">THÈME 4 </w:t>
      </w:r>
    </w:p>
    <w:p w14:paraId="36CB3B7F" w14:textId="77777777" w:rsidR="00654EFB" w:rsidRPr="00E80B43" w:rsidRDefault="00654EFB" w:rsidP="00654EFB">
      <w:pPr>
        <w:pStyle w:val="Titre2"/>
        <w:rPr>
          <w:rFonts w:ascii="Times New Roman" w:hAnsi="Times New Roman" w:cs="Times New Roman"/>
          <w:color w:val="auto"/>
        </w:rPr>
      </w:pPr>
      <w:r w:rsidRPr="00E80B43">
        <w:rPr>
          <w:rFonts w:ascii="Times New Roman" w:hAnsi="Times New Roman" w:cs="Times New Roman"/>
          <w:color w:val="auto"/>
        </w:rPr>
        <w:t>A.</w:t>
      </w:r>
      <w:r>
        <w:rPr>
          <w:rFonts w:ascii="Times New Roman" w:hAnsi="Times New Roman" w:cs="Times New Roman"/>
          <w:color w:val="auto"/>
        </w:rPr>
        <w:t xml:space="preserve"> </w:t>
      </w:r>
      <w:r w:rsidRPr="00E80B43">
        <w:rPr>
          <w:rFonts w:ascii="Times New Roman" w:hAnsi="Times New Roman" w:cs="Times New Roman"/>
          <w:color w:val="auto"/>
        </w:rPr>
        <w:t>Titre</w:t>
      </w:r>
      <w:r>
        <w:rPr>
          <w:rFonts w:ascii="Times New Roman" w:hAnsi="Times New Roman" w:cs="Times New Roman"/>
          <w:color w:val="auto"/>
        </w:rPr>
        <w:t xml:space="preserve"> du thème</w:t>
      </w:r>
    </w:p>
    <w:p w14:paraId="76C96560" w14:textId="0669D325" w:rsidR="00370AF5" w:rsidRPr="00654EFB" w:rsidRDefault="00370AF5" w:rsidP="00370AF5">
      <w:pPr>
        <w:spacing w:before="60" w:after="120"/>
        <w:rPr>
          <w:rFonts w:ascii="Times New Roman" w:hAnsi="Times New Roman" w:cs="Times New Roman"/>
          <w:color w:val="auto"/>
          <w:sz w:val="24"/>
          <w:szCs w:val="24"/>
        </w:rPr>
      </w:pPr>
      <w:r w:rsidRPr="00654EFB">
        <w:rPr>
          <w:rFonts w:ascii="Times New Roman" w:hAnsi="Times New Roman" w:cs="Times New Roman"/>
          <w:color w:val="auto"/>
          <w:sz w:val="24"/>
          <w:szCs w:val="24"/>
        </w:rPr>
        <w:t>Authentification Multi-Facteurs Cryptographiquement Légère pour IoT Industriel sous Contraintes de Ressources : Protocole Basé sur les Fonctions Physiques Non Clonables</w:t>
      </w:r>
    </w:p>
    <w:p w14:paraId="096D319A" w14:textId="77777777" w:rsidR="009C37E0" w:rsidRPr="00E80B43" w:rsidRDefault="00000000" w:rsidP="00156FB4">
      <w:pPr>
        <w:pStyle w:val="Titre2"/>
        <w:rPr>
          <w:rFonts w:ascii="Times New Roman" w:hAnsi="Times New Roman" w:cs="Times New Roman"/>
          <w:color w:val="auto"/>
        </w:rPr>
      </w:pPr>
      <w:r w:rsidRPr="00E80B43">
        <w:rPr>
          <w:rFonts w:ascii="Times New Roman" w:hAnsi="Times New Roman" w:cs="Times New Roman"/>
          <w:color w:val="auto"/>
        </w:rPr>
        <w:t>B. Problème non résolu</w:t>
      </w:r>
    </w:p>
    <w:p w14:paraId="57D418D2" w14:textId="390039C4" w:rsidR="009C37E0" w:rsidRPr="00E80B43" w:rsidRDefault="00000000" w:rsidP="00156FB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L'authentification forte dans l'IoT industriel (IIoT) se heurte à une contrainte physique fondamentale : les microcontrôleurs ont une puissance de calcul insuffisante pour les protocoles cryptographiques classiques (RSA, ECDH). Les Physical Unclonable Functions (PUF) sont étudiées pour l'authentification légère, mais leur intégration dans un protocole complet avec gestion de session, révocation et résistance aux attaques par modélisation (ML attacks) reste un problème ouvert.</w:t>
      </w:r>
    </w:p>
    <w:p w14:paraId="04A4427D" w14:textId="6F736540" w:rsidR="009C37E0" w:rsidRPr="00E80B43" w:rsidRDefault="00000000" w:rsidP="00156FB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Les protocoles PUF existants sont vulnérables aux ML attacks : un adversaire qui collecte suffisamment de paires challenge-réponse peut reconstruire un modèle du PUF et forger des authentifications. La majorité des schémas proposés ne couvrent ni la résistance aux attaques par replay, ni la gestion de révocation à faible coût, ni l'absence de PKI centralisée.</w:t>
      </w:r>
    </w:p>
    <w:p w14:paraId="2C976032" w14:textId="77777777" w:rsidR="009C37E0" w:rsidRPr="00E80B43" w:rsidRDefault="00000000" w:rsidP="00156FB4">
      <w:pPr>
        <w:pStyle w:val="Titre2"/>
        <w:rPr>
          <w:rFonts w:ascii="Times New Roman" w:hAnsi="Times New Roman" w:cs="Times New Roman"/>
          <w:color w:val="auto"/>
        </w:rPr>
      </w:pPr>
      <w:r w:rsidRPr="00E80B43">
        <w:rPr>
          <w:rFonts w:ascii="Times New Roman" w:hAnsi="Times New Roman" w:cs="Times New Roman"/>
          <w:color w:val="auto"/>
        </w:rPr>
        <w:t>C. Solution innovante proposée</w:t>
      </w:r>
    </w:p>
    <w:p w14:paraId="46522D23"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Protocole d'authentification hybride combinant quatre éléments :</w:t>
      </w:r>
    </w:p>
    <w:p w14:paraId="599A82C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PUF comme racine de confiance matérielle (ne nécessite pas de stockage de clé)</w:t>
      </w:r>
    </w:p>
    <w:p w14:paraId="17984884"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Commitment schemes basés sur des fonctions de hachage légères (PHOTON, SPONGENT) pour la résistance aux ML attacks</w:t>
      </w:r>
    </w:p>
    <w:p w14:paraId="4822AE38"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Protocole challenge-réponse à usage unique avec dérivation de clé de session via HKDF (RFC 5869)</w:t>
      </w:r>
    </w:p>
    <w:p w14:paraId="285CA480" w14:textId="3F670D3B" w:rsidR="009C37E0" w:rsidRPr="00E80B43" w:rsidRDefault="00000000" w:rsidP="00156FB4">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Gestion de révocation distribuée légère via une structure Bloom Filter partagée — pas de PKI centralisée coûteuse</w:t>
      </w:r>
    </w:p>
    <w:p w14:paraId="23990283" w14:textId="2EECFA00" w:rsidR="009C37E0" w:rsidRPr="00E80B43" w:rsidRDefault="00000000" w:rsidP="00156FB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La combinaison PUF + hash léger + Bloom Filter pour la révocation est inédite dans la littérature. Elle casse le trilemme sécurité / coût matériel / complexité de gestion dans l'IIoT et est formellement analysable via ProVerif (modèle Dolev-Yao).</w:t>
      </w:r>
    </w:p>
    <w:p w14:paraId="40021642" w14:textId="77777777" w:rsidR="009C37E0" w:rsidRPr="00E80B43" w:rsidRDefault="00000000" w:rsidP="00156FB4">
      <w:pPr>
        <w:pStyle w:val="Titre2"/>
        <w:rPr>
          <w:rFonts w:ascii="Times New Roman" w:hAnsi="Times New Roman" w:cs="Times New Roman"/>
          <w:color w:val="auto"/>
        </w:rPr>
      </w:pPr>
      <w:r w:rsidRPr="00E80B43">
        <w:rPr>
          <w:rFonts w:ascii="Times New Roman" w:hAnsi="Times New Roman" w:cs="Times New Roman"/>
          <w:color w:val="auto"/>
        </w:rPr>
        <w:t>D. État de l'art &amp; gaps identifiés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1867"/>
        <w:gridCol w:w="3828"/>
        <w:gridCol w:w="2268"/>
        <w:gridCol w:w="992"/>
      </w:tblGrid>
      <w:tr w:rsidR="00E80B43" w:rsidRPr="00E80B43" w14:paraId="1FE15FBC" w14:textId="77777777" w:rsidTr="00654EFB">
        <w:tc>
          <w:tcPr>
            <w:tcW w:w="400" w:type="dxa"/>
          </w:tcPr>
          <w:p w14:paraId="2B1CC46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w:t>
            </w:r>
          </w:p>
        </w:tc>
        <w:tc>
          <w:tcPr>
            <w:tcW w:w="1867" w:type="dxa"/>
          </w:tcPr>
          <w:p w14:paraId="09A8A3B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Auteurs</w:t>
            </w:r>
          </w:p>
        </w:tc>
        <w:tc>
          <w:tcPr>
            <w:tcW w:w="3828" w:type="dxa"/>
          </w:tcPr>
          <w:p w14:paraId="259DE26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Titre</w:t>
            </w:r>
          </w:p>
        </w:tc>
        <w:tc>
          <w:tcPr>
            <w:tcW w:w="2268" w:type="dxa"/>
          </w:tcPr>
          <w:p w14:paraId="3503360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Venue</w:t>
            </w:r>
          </w:p>
        </w:tc>
        <w:tc>
          <w:tcPr>
            <w:tcW w:w="992" w:type="dxa"/>
          </w:tcPr>
          <w:p w14:paraId="573B7AC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Année</w:t>
            </w:r>
          </w:p>
        </w:tc>
      </w:tr>
      <w:tr w:rsidR="00E80B43" w:rsidRPr="00E80B43" w14:paraId="25AFB30C" w14:textId="77777777" w:rsidTr="00654EFB">
        <w:tc>
          <w:tcPr>
            <w:tcW w:w="400" w:type="dxa"/>
          </w:tcPr>
          <w:p w14:paraId="2422816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w:t>
            </w:r>
          </w:p>
        </w:tc>
        <w:tc>
          <w:tcPr>
            <w:tcW w:w="1867" w:type="dxa"/>
          </w:tcPr>
          <w:p w14:paraId="5ACBC2B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Rührmair et al.</w:t>
            </w:r>
          </w:p>
        </w:tc>
        <w:tc>
          <w:tcPr>
            <w:tcW w:w="3828" w:type="dxa"/>
          </w:tcPr>
          <w:p w14:paraId="55F9759D"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PUF Modeling Attacks: An Introduction</w:t>
            </w:r>
          </w:p>
        </w:tc>
        <w:tc>
          <w:tcPr>
            <w:tcW w:w="2268" w:type="dxa"/>
          </w:tcPr>
          <w:p w14:paraId="5E21FC6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Springer LNCS</w:t>
            </w:r>
          </w:p>
        </w:tc>
        <w:tc>
          <w:tcPr>
            <w:tcW w:w="992" w:type="dxa"/>
          </w:tcPr>
          <w:p w14:paraId="58DCB24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2014</w:t>
            </w:r>
          </w:p>
        </w:tc>
      </w:tr>
      <w:tr w:rsidR="00E80B43" w:rsidRPr="00E80B43" w14:paraId="0F4496E2" w14:textId="77777777" w:rsidTr="00654EFB">
        <w:tc>
          <w:tcPr>
            <w:tcW w:w="400" w:type="dxa"/>
          </w:tcPr>
          <w:p w14:paraId="60748CC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w:t>
            </w:r>
          </w:p>
        </w:tc>
        <w:tc>
          <w:tcPr>
            <w:tcW w:w="1867" w:type="dxa"/>
          </w:tcPr>
          <w:p w14:paraId="7248A73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Gao et al.</w:t>
            </w:r>
          </w:p>
        </w:tc>
        <w:tc>
          <w:tcPr>
            <w:tcW w:w="3828" w:type="dxa"/>
          </w:tcPr>
          <w:p w14:paraId="6843164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Physical Unclonable Functions</w:t>
            </w:r>
          </w:p>
        </w:tc>
        <w:tc>
          <w:tcPr>
            <w:tcW w:w="2268" w:type="dxa"/>
          </w:tcPr>
          <w:p w14:paraId="70B9CDC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Nature Electronics</w:t>
            </w:r>
          </w:p>
        </w:tc>
        <w:tc>
          <w:tcPr>
            <w:tcW w:w="992" w:type="dxa"/>
          </w:tcPr>
          <w:p w14:paraId="2318F39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713C2AA7" w14:textId="77777777" w:rsidTr="00654EFB">
        <w:tc>
          <w:tcPr>
            <w:tcW w:w="400" w:type="dxa"/>
          </w:tcPr>
          <w:p w14:paraId="555D1F1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3</w:t>
            </w:r>
          </w:p>
        </w:tc>
        <w:tc>
          <w:tcPr>
            <w:tcW w:w="1867" w:type="dxa"/>
          </w:tcPr>
          <w:p w14:paraId="707E77A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Chatterjee et al.</w:t>
            </w:r>
          </w:p>
        </w:tc>
        <w:tc>
          <w:tcPr>
            <w:tcW w:w="3828" w:type="dxa"/>
          </w:tcPr>
          <w:p w14:paraId="3EC1AB72"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Building PUF Based Authentication Protocols for IoT</w:t>
            </w:r>
          </w:p>
        </w:tc>
        <w:tc>
          <w:tcPr>
            <w:tcW w:w="2268" w:type="dxa"/>
          </w:tcPr>
          <w:p w14:paraId="26DB0377"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TIFS</w:t>
            </w:r>
          </w:p>
        </w:tc>
        <w:tc>
          <w:tcPr>
            <w:tcW w:w="992" w:type="dxa"/>
          </w:tcPr>
          <w:p w14:paraId="3B20B7E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2019</w:t>
            </w:r>
          </w:p>
        </w:tc>
      </w:tr>
      <w:tr w:rsidR="00E80B43" w:rsidRPr="00E80B43" w14:paraId="512D506A" w14:textId="77777777" w:rsidTr="00654EFB">
        <w:tc>
          <w:tcPr>
            <w:tcW w:w="400" w:type="dxa"/>
          </w:tcPr>
          <w:p w14:paraId="2C3D2DA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4</w:t>
            </w:r>
          </w:p>
        </w:tc>
        <w:tc>
          <w:tcPr>
            <w:tcW w:w="1867" w:type="dxa"/>
          </w:tcPr>
          <w:p w14:paraId="420DF3A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Majzoobi et al.</w:t>
            </w:r>
          </w:p>
        </w:tc>
        <w:tc>
          <w:tcPr>
            <w:tcW w:w="3828" w:type="dxa"/>
          </w:tcPr>
          <w:p w14:paraId="2C4840A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Lightweight Secure PUFs</w:t>
            </w:r>
          </w:p>
        </w:tc>
        <w:tc>
          <w:tcPr>
            <w:tcW w:w="2268" w:type="dxa"/>
          </w:tcPr>
          <w:p w14:paraId="6AE5265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IEEE/ACM ICCAD</w:t>
            </w:r>
          </w:p>
        </w:tc>
        <w:tc>
          <w:tcPr>
            <w:tcW w:w="992" w:type="dxa"/>
          </w:tcPr>
          <w:p w14:paraId="73FD22C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2018</w:t>
            </w:r>
          </w:p>
        </w:tc>
      </w:tr>
      <w:tr w:rsidR="00E80B43" w:rsidRPr="00E80B43" w14:paraId="3B782D52" w14:textId="77777777" w:rsidTr="00654EFB">
        <w:tc>
          <w:tcPr>
            <w:tcW w:w="400" w:type="dxa"/>
          </w:tcPr>
          <w:p w14:paraId="5272DE07"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5</w:t>
            </w:r>
          </w:p>
        </w:tc>
        <w:tc>
          <w:tcPr>
            <w:tcW w:w="1867" w:type="dxa"/>
          </w:tcPr>
          <w:p w14:paraId="1BBCA57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Yildiz et al.</w:t>
            </w:r>
          </w:p>
        </w:tc>
        <w:tc>
          <w:tcPr>
            <w:tcW w:w="3828" w:type="dxa"/>
          </w:tcPr>
          <w:p w14:paraId="2F2551F3"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A Comprehensive Survey on PUF for IoT Security</w:t>
            </w:r>
          </w:p>
        </w:tc>
        <w:tc>
          <w:tcPr>
            <w:tcW w:w="2268" w:type="dxa"/>
          </w:tcPr>
          <w:p w14:paraId="45C5B13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Access</w:t>
            </w:r>
          </w:p>
        </w:tc>
        <w:tc>
          <w:tcPr>
            <w:tcW w:w="992" w:type="dxa"/>
          </w:tcPr>
          <w:p w14:paraId="4C2B7D7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2023</w:t>
            </w:r>
          </w:p>
        </w:tc>
      </w:tr>
      <w:tr w:rsidR="00E80B43" w:rsidRPr="00E80B43" w14:paraId="6AA11DD4" w14:textId="77777777" w:rsidTr="00654EFB">
        <w:tc>
          <w:tcPr>
            <w:tcW w:w="400" w:type="dxa"/>
          </w:tcPr>
          <w:p w14:paraId="0C6F716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6</w:t>
            </w:r>
          </w:p>
        </w:tc>
        <w:tc>
          <w:tcPr>
            <w:tcW w:w="1867" w:type="dxa"/>
          </w:tcPr>
          <w:p w14:paraId="2A5DD19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Aysu et al.</w:t>
            </w:r>
          </w:p>
        </w:tc>
        <w:tc>
          <w:tcPr>
            <w:tcW w:w="3828" w:type="dxa"/>
          </w:tcPr>
          <w:p w14:paraId="6C3D38A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lang w:val="en-US"/>
              </w:rPr>
              <w:t xml:space="preserve">End-to-End Design of a PUF-based Privacy Preserving Auth. </w:t>
            </w:r>
            <w:r w:rsidRPr="00E80B43">
              <w:rPr>
                <w:rFonts w:ascii="Times New Roman" w:hAnsi="Times New Roman" w:cs="Times New Roman"/>
                <w:color w:val="auto"/>
                <w:sz w:val="24"/>
                <w:szCs w:val="24"/>
              </w:rPr>
              <w:t>Protocol</w:t>
            </w:r>
          </w:p>
        </w:tc>
        <w:tc>
          <w:tcPr>
            <w:tcW w:w="2268" w:type="dxa"/>
          </w:tcPr>
          <w:p w14:paraId="03B4745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CHES</w:t>
            </w:r>
          </w:p>
        </w:tc>
        <w:tc>
          <w:tcPr>
            <w:tcW w:w="992" w:type="dxa"/>
          </w:tcPr>
          <w:p w14:paraId="3CDFA3F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2015</w:t>
            </w:r>
          </w:p>
        </w:tc>
      </w:tr>
      <w:tr w:rsidR="00E80B43" w:rsidRPr="00E80B43" w14:paraId="029537A4" w14:textId="77777777" w:rsidTr="00654EFB">
        <w:tc>
          <w:tcPr>
            <w:tcW w:w="400" w:type="dxa"/>
          </w:tcPr>
          <w:p w14:paraId="4202409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7</w:t>
            </w:r>
          </w:p>
        </w:tc>
        <w:tc>
          <w:tcPr>
            <w:tcW w:w="1867" w:type="dxa"/>
          </w:tcPr>
          <w:p w14:paraId="6B74638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Lo et al.</w:t>
            </w:r>
          </w:p>
        </w:tc>
        <w:tc>
          <w:tcPr>
            <w:tcW w:w="3828" w:type="dxa"/>
          </w:tcPr>
          <w:p w14:paraId="6B1C06BD"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An Analysis of Security Schemes for IoT Access Control</w:t>
            </w:r>
          </w:p>
        </w:tc>
        <w:tc>
          <w:tcPr>
            <w:tcW w:w="2268" w:type="dxa"/>
          </w:tcPr>
          <w:p w14:paraId="2D3B7DD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Access</w:t>
            </w:r>
          </w:p>
        </w:tc>
        <w:tc>
          <w:tcPr>
            <w:tcW w:w="992" w:type="dxa"/>
          </w:tcPr>
          <w:p w14:paraId="5E58753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2021</w:t>
            </w:r>
          </w:p>
        </w:tc>
      </w:tr>
    </w:tbl>
    <w:p w14:paraId="59F107B7" w14:textId="1596F2D8" w:rsidR="009C37E0" w:rsidRPr="00E80B43" w:rsidRDefault="00000000" w:rsidP="00B701A6">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Gap central : la résistance aux ML attacks via des commitments légers, combinée à une révocation distribuée sans PKI, n'est traitée conjointement dans aucun travail existant. Les schémas qui traitent </w:t>
      </w:r>
      <w:r w:rsidRPr="00E80B43">
        <w:rPr>
          <w:rFonts w:ascii="Times New Roman" w:hAnsi="Times New Roman" w:cs="Times New Roman"/>
          <w:color w:val="auto"/>
          <w:sz w:val="24"/>
          <w:szCs w:val="24"/>
        </w:rPr>
        <w:lastRenderedPageBreak/>
        <w:t>la résistance aux ML attacks ignorent la révocation ; ceux qui traitent la révocation supposent une PKI coûteuse.</w:t>
      </w:r>
    </w:p>
    <w:p w14:paraId="0EC1E2DB" w14:textId="77777777" w:rsidR="009C37E0" w:rsidRPr="00E80B43" w:rsidRDefault="00000000" w:rsidP="00B701A6">
      <w:pPr>
        <w:pStyle w:val="Titre2"/>
        <w:rPr>
          <w:rFonts w:ascii="Times New Roman" w:hAnsi="Times New Roman" w:cs="Times New Roman"/>
          <w:color w:val="auto"/>
        </w:rPr>
      </w:pPr>
      <w:r w:rsidRPr="00E80B43">
        <w:rPr>
          <w:rFonts w:ascii="Times New Roman" w:hAnsi="Times New Roman" w:cs="Times New Roman"/>
          <w:color w:val="auto"/>
        </w:rPr>
        <w:t>F. Hypothèse de recherche</w:t>
      </w:r>
    </w:p>
    <w:p w14:paraId="3A0D0CFD" w14:textId="659D722E" w:rsidR="009C37E0" w:rsidRPr="00E80B43" w:rsidRDefault="00B701A6">
      <w:pPr>
        <w:spacing w:after="80"/>
        <w:rPr>
          <w:rFonts w:ascii="Times New Roman" w:hAnsi="Times New Roman" w:cs="Times New Roman"/>
          <w:color w:val="auto"/>
          <w:sz w:val="24"/>
          <w:szCs w:val="24"/>
        </w:rPr>
      </w:pPr>
      <w:r w:rsidRPr="00E80B43">
        <w:rPr>
          <w:rFonts w:ascii="Times New Roman" w:hAnsi="Times New Roman" w:cs="Times New Roman"/>
          <w:color w:val="auto"/>
          <w:sz w:val="24"/>
          <w:szCs w:val="24"/>
        </w:rPr>
        <w:t>Un protocole d'authentification IIoT basé sur PUF avec commitments légers (PHOTON/SPONGENT) et révocation par Bloom Filter offre une résistance aux attaques par modélisation supérieure à 99 % tout en s'exécutant en moins de 50 ms sur un microcontrôleur ARM Cortex-M4 avec moins de 32 Ko de mémoire flash.</w:t>
      </w:r>
    </w:p>
    <w:p w14:paraId="21B81E1A" w14:textId="77777777" w:rsidR="009C37E0" w:rsidRPr="00E80B43" w:rsidRDefault="00000000" w:rsidP="00B701A6">
      <w:pPr>
        <w:pStyle w:val="Titre2"/>
        <w:rPr>
          <w:rFonts w:ascii="Times New Roman" w:hAnsi="Times New Roman" w:cs="Times New Roman"/>
          <w:color w:val="auto"/>
        </w:rPr>
      </w:pPr>
      <w:r w:rsidRPr="00E80B43">
        <w:rPr>
          <w:rFonts w:ascii="Times New Roman" w:hAnsi="Times New Roman" w:cs="Times New Roman"/>
          <w:color w:val="auto"/>
        </w:rPr>
        <w:t>G. Faisabilité &amp; Méthodologie</w:t>
      </w:r>
    </w:p>
    <w:p w14:paraId="2F679D45"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Outils : FPGA (simulation PUF), Arduino/ESP32, ProVerif (vérification formelle), Python (simulation des ML attacks : SVM, deep learning)</w:t>
      </w:r>
    </w:p>
    <w:p w14:paraId="35092108"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Validation : simulation d'attaques ML (SVM, deep learning) contre le protocole + benchmarks matériels sur ESP32</w:t>
      </w:r>
    </w:p>
    <w:p w14:paraId="0299F856" w14:textId="7CA123A1" w:rsidR="009C37E0" w:rsidRPr="00E80B43" w:rsidRDefault="00000000" w:rsidP="00B701A6">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Durée estimée : 5 à 8 mois (la vérification formelle est la partie la plus longue)</w:t>
      </w:r>
    </w:p>
    <w:p w14:paraId="67D899D0" w14:textId="77777777" w:rsidR="009C37E0" w:rsidRPr="00E80B43" w:rsidRDefault="00000000" w:rsidP="00B701A6">
      <w:pPr>
        <w:pStyle w:val="Titre2"/>
        <w:rPr>
          <w:rFonts w:ascii="Times New Roman" w:hAnsi="Times New Roman" w:cs="Times New Roman"/>
          <w:color w:val="auto"/>
        </w:rPr>
      </w:pPr>
      <w:r w:rsidRPr="00E80B43">
        <w:rPr>
          <w:rFonts w:ascii="Times New Roman" w:hAnsi="Times New Roman" w:cs="Times New Roman"/>
          <w:color w:val="auto"/>
        </w:rPr>
        <w:t>H. Métriques de comparaison</w:t>
      </w:r>
    </w:p>
    <w:p w14:paraId="1C7E42DA" w14:textId="33C01A6E" w:rsidR="009C37E0" w:rsidRPr="00E80B43" w:rsidRDefault="00000000" w:rsidP="00B701A6">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Temps d'authentification (ms) · Consommation mémoire (Ko) · Taux de succès des ML attacks contre le protocole (%) · Taux d'unicité PUF (%) · Overhead énergie (µJ) · Comparaison vs DTLS, TLS-PSK, schémas PUF existants</w:t>
      </w:r>
    </w:p>
    <w:p w14:paraId="32D774FF" w14:textId="77777777" w:rsidR="009C37E0" w:rsidRPr="00E80B43" w:rsidRDefault="00000000" w:rsidP="00B701A6">
      <w:pPr>
        <w:pStyle w:val="Titre2"/>
        <w:rPr>
          <w:rFonts w:ascii="Times New Roman" w:hAnsi="Times New Roman" w:cs="Times New Roman"/>
          <w:color w:val="auto"/>
          <w:lang w:val="en-US"/>
        </w:rPr>
      </w:pPr>
      <w:r w:rsidRPr="00E80B43">
        <w:rPr>
          <w:rFonts w:ascii="Times New Roman" w:hAnsi="Times New Roman" w:cs="Times New Roman"/>
          <w:color w:val="auto"/>
          <w:lang w:val="en-US"/>
        </w:rPr>
        <w:t>J. Mots-clés scientifiques</w:t>
      </w:r>
    </w:p>
    <w:p w14:paraId="0EB01F46" w14:textId="77777777" w:rsidR="009C37E0" w:rsidRPr="00E80B43" w:rsidRDefault="00000000">
      <w:pPr>
        <w:spacing w:before="60" w:after="60" w:line="276" w:lineRule="auto"/>
        <w:jc w:val="both"/>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Physical Unclonable Functions · Lightweight Authentication · IIoT Security · ML-Resistant PUF · Bloom Filter · Cryptographic Protocol · Formal Verification · Edge Security · Low-Resource Devices · ProVerif</w:t>
      </w:r>
    </w:p>
    <w:p w14:paraId="161AC39C" w14:textId="7A365514" w:rsidR="009C37E0" w:rsidRPr="00E80B43" w:rsidRDefault="009C37E0">
      <w:pPr>
        <w:rPr>
          <w:rFonts w:ascii="Times New Roman" w:hAnsi="Times New Roman" w:cs="Times New Roman"/>
          <w:color w:val="auto"/>
          <w:sz w:val="24"/>
          <w:szCs w:val="24"/>
          <w:lang w:val="en-US"/>
        </w:rPr>
      </w:pPr>
    </w:p>
    <w:p w14:paraId="6CC6D440" w14:textId="77777777" w:rsidR="00654EFB" w:rsidRDefault="00654EFB">
      <w:pPr>
        <w:rPr>
          <w:rFonts w:ascii="Times New Roman" w:hAnsi="Times New Roman" w:cs="Times New Roman"/>
          <w:b/>
          <w:bCs/>
          <w:color w:val="auto"/>
          <w:sz w:val="28"/>
          <w:szCs w:val="28"/>
        </w:rPr>
      </w:pPr>
      <w:r>
        <w:rPr>
          <w:rFonts w:ascii="Times New Roman" w:hAnsi="Times New Roman" w:cs="Times New Roman"/>
          <w:color w:val="auto"/>
        </w:rPr>
        <w:br w:type="page"/>
      </w:r>
    </w:p>
    <w:p w14:paraId="22CC4D2B" w14:textId="50C47F9B" w:rsidR="00F955E1" w:rsidRPr="00E80B43" w:rsidRDefault="00000000" w:rsidP="00F955E1">
      <w:pPr>
        <w:pStyle w:val="Titre1"/>
        <w:rPr>
          <w:rFonts w:ascii="Times New Roman" w:hAnsi="Times New Roman" w:cs="Times New Roman"/>
          <w:color w:val="auto"/>
        </w:rPr>
      </w:pPr>
      <w:r w:rsidRPr="00E80B43">
        <w:rPr>
          <w:rFonts w:ascii="Times New Roman" w:hAnsi="Times New Roman" w:cs="Times New Roman"/>
          <w:color w:val="auto"/>
        </w:rPr>
        <w:lastRenderedPageBreak/>
        <w:t xml:space="preserve">THÈME 5  </w:t>
      </w:r>
    </w:p>
    <w:p w14:paraId="22C97D42" w14:textId="77777777" w:rsidR="00654EFB" w:rsidRPr="00E80B43" w:rsidRDefault="00654EFB" w:rsidP="00654EFB">
      <w:pPr>
        <w:pStyle w:val="Titre2"/>
        <w:rPr>
          <w:rFonts w:ascii="Times New Roman" w:hAnsi="Times New Roman" w:cs="Times New Roman"/>
          <w:color w:val="auto"/>
        </w:rPr>
      </w:pPr>
      <w:r w:rsidRPr="00E80B43">
        <w:rPr>
          <w:rFonts w:ascii="Times New Roman" w:hAnsi="Times New Roman" w:cs="Times New Roman"/>
          <w:color w:val="auto"/>
        </w:rPr>
        <w:t>A.</w:t>
      </w:r>
      <w:r>
        <w:rPr>
          <w:rFonts w:ascii="Times New Roman" w:hAnsi="Times New Roman" w:cs="Times New Roman"/>
          <w:color w:val="auto"/>
        </w:rPr>
        <w:t xml:space="preserve"> </w:t>
      </w:r>
      <w:r w:rsidRPr="00E80B43">
        <w:rPr>
          <w:rFonts w:ascii="Times New Roman" w:hAnsi="Times New Roman" w:cs="Times New Roman"/>
          <w:color w:val="auto"/>
        </w:rPr>
        <w:t>Titre</w:t>
      </w:r>
      <w:r>
        <w:rPr>
          <w:rFonts w:ascii="Times New Roman" w:hAnsi="Times New Roman" w:cs="Times New Roman"/>
          <w:color w:val="auto"/>
        </w:rPr>
        <w:t xml:space="preserve"> du thème</w:t>
      </w:r>
    </w:p>
    <w:p w14:paraId="50720941" w14:textId="3C4B04A6" w:rsidR="003B3148" w:rsidRPr="003B3148" w:rsidRDefault="003B3148" w:rsidP="00F955E1">
      <w:pPr>
        <w:pStyle w:val="Titre2"/>
        <w:rPr>
          <w:rFonts w:ascii="Times New Roman" w:hAnsi="Times New Roman" w:cs="Times New Roman"/>
          <w:b w:val="0"/>
          <w:bCs w:val="0"/>
          <w:color w:val="auto"/>
        </w:rPr>
      </w:pPr>
      <w:r w:rsidRPr="003B3148">
        <w:rPr>
          <w:rFonts w:ascii="Times New Roman" w:hAnsi="Times New Roman" w:cs="Times New Roman"/>
          <w:b w:val="0"/>
          <w:bCs w:val="0"/>
          <w:color w:val="auto"/>
        </w:rPr>
        <w:t>Gouvernance IT Automatisée par Politiques Adaptatives : Vers un Cadre de Conformité Continue ISO 27001 / NIS2 Open Source pour PME</w:t>
      </w:r>
    </w:p>
    <w:p w14:paraId="3B44D81F" w14:textId="0D1DEF4D" w:rsidR="009C37E0" w:rsidRPr="00E80B43" w:rsidRDefault="00000000" w:rsidP="00F955E1">
      <w:pPr>
        <w:pStyle w:val="Titre2"/>
        <w:rPr>
          <w:rFonts w:ascii="Times New Roman" w:hAnsi="Times New Roman" w:cs="Times New Roman"/>
          <w:color w:val="auto"/>
        </w:rPr>
      </w:pPr>
      <w:r w:rsidRPr="00E80B43">
        <w:rPr>
          <w:rFonts w:ascii="Times New Roman" w:hAnsi="Times New Roman" w:cs="Times New Roman"/>
          <w:color w:val="auto"/>
        </w:rPr>
        <w:t>B. Problème non résolu</w:t>
      </w:r>
    </w:p>
    <w:p w14:paraId="0DA613CD" w14:textId="118D9FD0" w:rsidR="009C37E0" w:rsidRPr="00E80B43" w:rsidRDefault="00000000" w:rsidP="00F955E1">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La conformité ISO 27001 et NIS2 est un processus manuel, coûteux (audits annuels, consultants, outils GRC propriétaires comme ServiceNow GRC ou RSA Archer atteignant 50 000 à 200 000 USD/an). Il n'existe pas de cadre open source permettant une conformité continue automatisée avec mapping dynamique entre contrôles techniques et exigences normatives, adapté aux PME et structures à faibles ressources.</w:t>
      </w:r>
    </w:p>
    <w:p w14:paraId="375261B6"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Les outils open source existants couvrent partiellement le problème : OpenSCAP traite la conformité technique des hôtes sans vision systémique ; l'OSCAL (NIST) propose un format de données pour les contrôles mais sans moteur d'enforcement ni tableau de bord de conformité continue. Aucune solution n'offre le couplage entre événements techniques opérationnels et scoring de conformité normative en temps réel.</w:t>
      </w:r>
    </w:p>
    <w:p w14:paraId="0B319122" w14:textId="77777777" w:rsidR="009C37E0" w:rsidRPr="00E80B43" w:rsidRDefault="00000000" w:rsidP="00F955E1">
      <w:pPr>
        <w:pStyle w:val="Titre2"/>
        <w:rPr>
          <w:rFonts w:ascii="Times New Roman" w:hAnsi="Times New Roman" w:cs="Times New Roman"/>
          <w:color w:val="auto"/>
        </w:rPr>
      </w:pPr>
      <w:r w:rsidRPr="00E80B43">
        <w:rPr>
          <w:rFonts w:ascii="Times New Roman" w:hAnsi="Times New Roman" w:cs="Times New Roman"/>
          <w:color w:val="auto"/>
        </w:rPr>
        <w:t>C. Solution innovante proposée</w:t>
      </w:r>
    </w:p>
    <w:p w14:paraId="07996A72"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Cadre Continuous Compliance-as-Code combinant cinq composants :</w:t>
      </w:r>
    </w:p>
    <w:p w14:paraId="23954785"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OSCAL (Open Security Controls Assessment Language) comme modèle de données des contrôles ISO 27001 / NIS2</w:t>
      </w:r>
    </w:p>
    <w:p w14:paraId="30E58452"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OPA/Rego pour l'expression et l'évaluation automatique des politiques de contrôle</w:t>
      </w:r>
    </w:p>
    <w:p w14:paraId="701210C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Wazuh 4.7 pour la collecte des preuves techniques (logs, configurations, vulnérabilités, intégrité fichiers)</w:t>
      </w:r>
    </w:p>
    <w:p w14:paraId="001BB8E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Grafana pour le tableau de bord de conformité en temps réel avec score par domaine ISO 27001 (A.5 à A.18)</w:t>
      </w:r>
    </w:p>
    <w:p w14:paraId="4292534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Moteur de mapping automatique : chaque événement Wazuh est mappé dynamiquement à un ou plusieurs contrôles ISO 27001, calculant un compliance score continu</w:t>
      </w:r>
    </w:p>
    <w:p w14:paraId="565549D6"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Le couplage OSCAL + OPA + Wazuh pour la conformité continue ISO 27001 est inédit dans la littérature. Il transforme la conformité d'un audit annuel ponctuel en un processus continu, mesurable et automatisé, opérable pour moins de 500 USD/an pour une organisation de 50 utilisateurs.</w:t>
      </w:r>
    </w:p>
    <w:p w14:paraId="5E7F324A" w14:textId="77777777" w:rsidR="009C37E0" w:rsidRPr="00E80B43" w:rsidRDefault="00000000" w:rsidP="00F955E1">
      <w:pPr>
        <w:pStyle w:val="Titre2"/>
        <w:rPr>
          <w:rFonts w:ascii="Times New Roman" w:hAnsi="Times New Roman" w:cs="Times New Roman"/>
          <w:color w:val="auto"/>
        </w:rPr>
      </w:pPr>
      <w:r w:rsidRPr="00E80B43">
        <w:rPr>
          <w:rFonts w:ascii="Times New Roman" w:hAnsi="Times New Roman" w:cs="Times New Roman"/>
          <w:color w:val="auto"/>
        </w:rPr>
        <w:t>D. État de l'art &amp; gaps identifiés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2151"/>
        <w:gridCol w:w="4252"/>
        <w:gridCol w:w="1901"/>
        <w:gridCol w:w="934"/>
      </w:tblGrid>
      <w:tr w:rsidR="00E80B43" w:rsidRPr="00E80B43" w14:paraId="5EC3B72C" w14:textId="77777777" w:rsidTr="003B3148">
        <w:tc>
          <w:tcPr>
            <w:tcW w:w="400" w:type="dxa"/>
          </w:tcPr>
          <w:p w14:paraId="50B936B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w:t>
            </w:r>
          </w:p>
        </w:tc>
        <w:tc>
          <w:tcPr>
            <w:tcW w:w="2151" w:type="dxa"/>
          </w:tcPr>
          <w:p w14:paraId="6C760C8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Auteurs</w:t>
            </w:r>
          </w:p>
        </w:tc>
        <w:tc>
          <w:tcPr>
            <w:tcW w:w="4252" w:type="dxa"/>
          </w:tcPr>
          <w:p w14:paraId="07CAD03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Titre</w:t>
            </w:r>
          </w:p>
        </w:tc>
        <w:tc>
          <w:tcPr>
            <w:tcW w:w="1901" w:type="dxa"/>
          </w:tcPr>
          <w:p w14:paraId="0AA3752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Venue</w:t>
            </w:r>
          </w:p>
        </w:tc>
        <w:tc>
          <w:tcPr>
            <w:tcW w:w="934" w:type="dxa"/>
          </w:tcPr>
          <w:p w14:paraId="3BD1129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Année</w:t>
            </w:r>
          </w:p>
        </w:tc>
      </w:tr>
      <w:tr w:rsidR="00E80B43" w:rsidRPr="00E80B43" w14:paraId="643FED6A" w14:textId="77777777" w:rsidTr="003B3148">
        <w:tc>
          <w:tcPr>
            <w:tcW w:w="400" w:type="dxa"/>
          </w:tcPr>
          <w:p w14:paraId="1556FE4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w:t>
            </w:r>
          </w:p>
        </w:tc>
        <w:tc>
          <w:tcPr>
            <w:tcW w:w="2151" w:type="dxa"/>
          </w:tcPr>
          <w:p w14:paraId="4565EE3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Labunets et al.</w:t>
            </w:r>
          </w:p>
        </w:tc>
        <w:tc>
          <w:tcPr>
            <w:tcW w:w="4252" w:type="dxa"/>
          </w:tcPr>
          <w:p w14:paraId="726FA61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Towards Continuous Compliance Monitoring</w:t>
            </w:r>
          </w:p>
        </w:tc>
        <w:tc>
          <w:tcPr>
            <w:tcW w:w="1901" w:type="dxa"/>
          </w:tcPr>
          <w:p w14:paraId="4042B2F7"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ACM SAC</w:t>
            </w:r>
          </w:p>
        </w:tc>
        <w:tc>
          <w:tcPr>
            <w:tcW w:w="934" w:type="dxa"/>
          </w:tcPr>
          <w:p w14:paraId="59D8910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1586E096" w14:textId="77777777" w:rsidTr="003B3148">
        <w:tc>
          <w:tcPr>
            <w:tcW w:w="400" w:type="dxa"/>
          </w:tcPr>
          <w:p w14:paraId="0383E6B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w:t>
            </w:r>
          </w:p>
        </w:tc>
        <w:tc>
          <w:tcPr>
            <w:tcW w:w="2151" w:type="dxa"/>
          </w:tcPr>
          <w:p w14:paraId="76376AF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Becker et al.</w:t>
            </w:r>
          </w:p>
        </w:tc>
        <w:tc>
          <w:tcPr>
            <w:tcW w:w="4252" w:type="dxa"/>
          </w:tcPr>
          <w:p w14:paraId="4710BB6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Compliance Automation for Cloud</w:t>
            </w:r>
          </w:p>
        </w:tc>
        <w:tc>
          <w:tcPr>
            <w:tcW w:w="1901" w:type="dxa"/>
          </w:tcPr>
          <w:p w14:paraId="67F19D7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Cloud</w:t>
            </w:r>
          </w:p>
        </w:tc>
        <w:tc>
          <w:tcPr>
            <w:tcW w:w="934" w:type="dxa"/>
          </w:tcPr>
          <w:p w14:paraId="3B3258D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2021</w:t>
            </w:r>
          </w:p>
        </w:tc>
      </w:tr>
      <w:tr w:rsidR="00E80B43" w:rsidRPr="00E80B43" w14:paraId="1F5F9BD3" w14:textId="77777777" w:rsidTr="003B3148">
        <w:tc>
          <w:tcPr>
            <w:tcW w:w="400" w:type="dxa"/>
          </w:tcPr>
          <w:p w14:paraId="7262A1F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3</w:t>
            </w:r>
          </w:p>
        </w:tc>
        <w:tc>
          <w:tcPr>
            <w:tcW w:w="2151" w:type="dxa"/>
          </w:tcPr>
          <w:p w14:paraId="4CECB23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Slipka &amp; Rossi</w:t>
            </w:r>
          </w:p>
        </w:tc>
        <w:tc>
          <w:tcPr>
            <w:tcW w:w="4252" w:type="dxa"/>
          </w:tcPr>
          <w:p w14:paraId="2F7E8D7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OSCAL for Automated Compliance</w:t>
            </w:r>
          </w:p>
        </w:tc>
        <w:tc>
          <w:tcPr>
            <w:tcW w:w="1901" w:type="dxa"/>
          </w:tcPr>
          <w:p w14:paraId="2506477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NIST Workshop</w:t>
            </w:r>
          </w:p>
        </w:tc>
        <w:tc>
          <w:tcPr>
            <w:tcW w:w="934" w:type="dxa"/>
          </w:tcPr>
          <w:p w14:paraId="7CF0079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2022</w:t>
            </w:r>
          </w:p>
        </w:tc>
      </w:tr>
      <w:tr w:rsidR="00E80B43" w:rsidRPr="00E80B43" w14:paraId="33D88C16" w14:textId="77777777" w:rsidTr="003B3148">
        <w:tc>
          <w:tcPr>
            <w:tcW w:w="400" w:type="dxa"/>
          </w:tcPr>
          <w:p w14:paraId="31E9A63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4</w:t>
            </w:r>
          </w:p>
        </w:tc>
        <w:tc>
          <w:tcPr>
            <w:tcW w:w="2151" w:type="dxa"/>
          </w:tcPr>
          <w:p w14:paraId="6B9AB7D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Torkura et al.</w:t>
            </w:r>
          </w:p>
        </w:tc>
        <w:tc>
          <w:tcPr>
            <w:tcW w:w="4252" w:type="dxa"/>
          </w:tcPr>
          <w:p w14:paraId="298C8D5A"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CloudStrike: Chaos Engineering for Security</w:t>
            </w:r>
          </w:p>
        </w:tc>
        <w:tc>
          <w:tcPr>
            <w:tcW w:w="1901" w:type="dxa"/>
          </w:tcPr>
          <w:p w14:paraId="1017771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TNSM</w:t>
            </w:r>
          </w:p>
        </w:tc>
        <w:tc>
          <w:tcPr>
            <w:tcW w:w="934" w:type="dxa"/>
          </w:tcPr>
          <w:p w14:paraId="6F41369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2021</w:t>
            </w:r>
          </w:p>
        </w:tc>
      </w:tr>
      <w:tr w:rsidR="00E80B43" w:rsidRPr="00E80B43" w14:paraId="2DB24266" w14:textId="77777777" w:rsidTr="003B3148">
        <w:tc>
          <w:tcPr>
            <w:tcW w:w="400" w:type="dxa"/>
          </w:tcPr>
          <w:p w14:paraId="1582EF4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5</w:t>
            </w:r>
          </w:p>
        </w:tc>
        <w:tc>
          <w:tcPr>
            <w:tcW w:w="2151" w:type="dxa"/>
          </w:tcPr>
          <w:p w14:paraId="5B213A1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Majeed et al.</w:t>
            </w:r>
          </w:p>
        </w:tc>
        <w:tc>
          <w:tcPr>
            <w:tcW w:w="4252" w:type="dxa"/>
          </w:tcPr>
          <w:p w14:paraId="24BFA93B"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GDPR Compliance Challenges in Cloud</w:t>
            </w:r>
          </w:p>
        </w:tc>
        <w:tc>
          <w:tcPr>
            <w:tcW w:w="1901" w:type="dxa"/>
          </w:tcPr>
          <w:p w14:paraId="67CBFA7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Access</w:t>
            </w:r>
          </w:p>
        </w:tc>
        <w:tc>
          <w:tcPr>
            <w:tcW w:w="934" w:type="dxa"/>
          </w:tcPr>
          <w:p w14:paraId="1754DD1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51E4CF74" w14:textId="77777777" w:rsidTr="003B3148">
        <w:tc>
          <w:tcPr>
            <w:tcW w:w="400" w:type="dxa"/>
          </w:tcPr>
          <w:p w14:paraId="2AAA1FB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6</w:t>
            </w:r>
          </w:p>
        </w:tc>
        <w:tc>
          <w:tcPr>
            <w:tcW w:w="2151" w:type="dxa"/>
          </w:tcPr>
          <w:p w14:paraId="5B9089F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Wynn et al.</w:t>
            </w:r>
          </w:p>
        </w:tc>
        <w:tc>
          <w:tcPr>
            <w:tcW w:w="4252" w:type="dxa"/>
          </w:tcPr>
          <w:p w14:paraId="5309058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Automating Security Control Assessment</w:t>
            </w:r>
          </w:p>
        </w:tc>
        <w:tc>
          <w:tcPr>
            <w:tcW w:w="1901" w:type="dxa"/>
          </w:tcPr>
          <w:p w14:paraId="1C259BC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NIST IR</w:t>
            </w:r>
          </w:p>
        </w:tc>
        <w:tc>
          <w:tcPr>
            <w:tcW w:w="934" w:type="dxa"/>
          </w:tcPr>
          <w:p w14:paraId="69D600A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2022</w:t>
            </w:r>
          </w:p>
        </w:tc>
      </w:tr>
      <w:tr w:rsidR="00E80B43" w:rsidRPr="00E80B43" w14:paraId="46854181" w14:textId="77777777" w:rsidTr="003B3148">
        <w:tc>
          <w:tcPr>
            <w:tcW w:w="400" w:type="dxa"/>
          </w:tcPr>
          <w:p w14:paraId="51F7707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7</w:t>
            </w:r>
          </w:p>
        </w:tc>
        <w:tc>
          <w:tcPr>
            <w:tcW w:w="2151" w:type="dxa"/>
          </w:tcPr>
          <w:p w14:paraId="1CA2E24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López et al.</w:t>
            </w:r>
          </w:p>
        </w:tc>
        <w:tc>
          <w:tcPr>
            <w:tcW w:w="4252" w:type="dxa"/>
          </w:tcPr>
          <w:p w14:paraId="2FCF44C3"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Towards Continuous Security Compliance in Agile Dev.</w:t>
            </w:r>
          </w:p>
        </w:tc>
        <w:tc>
          <w:tcPr>
            <w:tcW w:w="1901" w:type="dxa"/>
          </w:tcPr>
          <w:p w14:paraId="3D8DC28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Access</w:t>
            </w:r>
          </w:p>
        </w:tc>
        <w:tc>
          <w:tcPr>
            <w:tcW w:w="934" w:type="dxa"/>
          </w:tcPr>
          <w:p w14:paraId="026DBA0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2021</w:t>
            </w:r>
          </w:p>
        </w:tc>
      </w:tr>
    </w:tbl>
    <w:p w14:paraId="012ED1DA" w14:textId="77777777" w:rsidR="009C37E0" w:rsidRPr="00E80B43" w:rsidRDefault="009C37E0">
      <w:pPr>
        <w:spacing w:after="80"/>
        <w:rPr>
          <w:rFonts w:ascii="Times New Roman" w:hAnsi="Times New Roman" w:cs="Times New Roman"/>
          <w:color w:val="auto"/>
          <w:sz w:val="24"/>
          <w:szCs w:val="24"/>
        </w:rPr>
      </w:pPr>
    </w:p>
    <w:p w14:paraId="2542C489" w14:textId="7C1C99E9" w:rsidR="009C37E0" w:rsidRPr="00E80B43" w:rsidRDefault="00000000" w:rsidP="00F955E1">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lastRenderedPageBreak/>
        <w:t>Gap central : aucun travail ne propose un cadre end-to-end open source pour la conformité continue ISO 27001 avec scoring dynamique, preuve technique automatisée, et coût de déploiement documenté pour les PME. Les travaux existants sont soit partiels (un seul composant de la chaîne), soit propriétaires, soit non reproductibles.</w:t>
      </w:r>
    </w:p>
    <w:p w14:paraId="0D7A8EB8" w14:textId="77777777" w:rsidR="009C37E0" w:rsidRPr="00E80B43" w:rsidRDefault="00000000" w:rsidP="00F955E1">
      <w:pPr>
        <w:pStyle w:val="Titre2"/>
        <w:rPr>
          <w:rFonts w:ascii="Times New Roman" w:hAnsi="Times New Roman" w:cs="Times New Roman"/>
          <w:color w:val="auto"/>
        </w:rPr>
      </w:pPr>
      <w:r w:rsidRPr="00E80B43">
        <w:rPr>
          <w:rFonts w:ascii="Times New Roman" w:hAnsi="Times New Roman" w:cs="Times New Roman"/>
          <w:color w:val="auto"/>
        </w:rPr>
        <w:t>F. Hypothèse de recherche</w:t>
      </w:r>
    </w:p>
    <w:p w14:paraId="334CD11C" w14:textId="11DF47BA" w:rsidR="009C37E0" w:rsidRPr="00E80B43" w:rsidRDefault="00F955E1">
      <w:pPr>
        <w:spacing w:after="80"/>
        <w:rPr>
          <w:rFonts w:ascii="Times New Roman" w:hAnsi="Times New Roman" w:cs="Times New Roman"/>
          <w:color w:val="auto"/>
          <w:sz w:val="24"/>
          <w:szCs w:val="24"/>
        </w:rPr>
      </w:pPr>
      <w:r w:rsidRPr="00E80B43">
        <w:rPr>
          <w:rFonts w:ascii="Times New Roman" w:hAnsi="Times New Roman" w:cs="Times New Roman"/>
          <w:color w:val="auto"/>
          <w:sz w:val="24"/>
          <w:szCs w:val="24"/>
        </w:rPr>
        <w:t>Un cadre de conformité continue basé sur OSCAL, OPA et Wazuh permet d'atteindre un taux de couverture automatique des contrôles ISO 27001 supérieur à 70 %, réduisant le temps de préparation aux audits de conformité d'au moins 60 % par rapport aux approches manuelles, avec un coût de déploiement et d'exploitation inférieur à 500 USD/an pour une organisation de 50 utilisateurs.</w:t>
      </w:r>
    </w:p>
    <w:p w14:paraId="24FEFB09" w14:textId="77777777" w:rsidR="009C37E0" w:rsidRPr="00E80B43" w:rsidRDefault="00000000" w:rsidP="00F955E1">
      <w:pPr>
        <w:pStyle w:val="Titre2"/>
        <w:rPr>
          <w:rFonts w:ascii="Times New Roman" w:hAnsi="Times New Roman" w:cs="Times New Roman"/>
          <w:color w:val="auto"/>
        </w:rPr>
      </w:pPr>
      <w:r w:rsidRPr="00E80B43">
        <w:rPr>
          <w:rFonts w:ascii="Times New Roman" w:hAnsi="Times New Roman" w:cs="Times New Roman"/>
          <w:color w:val="auto"/>
        </w:rPr>
        <w:t>G. Faisabilité &amp; Méthodologie</w:t>
      </w:r>
    </w:p>
    <w:p w14:paraId="64F15645"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Outils : OSCAL Python library, OPA, Wazuh 4.7, Grafana, Docker Compose (déploiement simplifié)</w:t>
      </w:r>
    </w:p>
    <w:p w14:paraId="19877248"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Validation : déploiement dans une organisation pilote ou simulation + évaluation par un auditeur ISO 27001 certifié</w:t>
      </w:r>
    </w:p>
    <w:p w14:paraId="0784861D" w14:textId="2971CB58" w:rsidR="009C37E0" w:rsidRPr="00E80B43" w:rsidRDefault="00000000" w:rsidP="00F955E1">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Durée estimée : 3 à 4 mois — le plus rapidement faisable de la liste</w:t>
      </w:r>
    </w:p>
    <w:p w14:paraId="0219BF69" w14:textId="77777777" w:rsidR="009C37E0" w:rsidRPr="00E80B43" w:rsidRDefault="00000000" w:rsidP="00023396">
      <w:pPr>
        <w:pStyle w:val="Titre2"/>
        <w:rPr>
          <w:rFonts w:ascii="Times New Roman" w:hAnsi="Times New Roman" w:cs="Times New Roman"/>
          <w:color w:val="auto"/>
        </w:rPr>
      </w:pPr>
      <w:r w:rsidRPr="00E80B43">
        <w:rPr>
          <w:rFonts w:ascii="Times New Roman" w:hAnsi="Times New Roman" w:cs="Times New Roman"/>
          <w:color w:val="auto"/>
        </w:rPr>
        <w:t>H. Métriques de comparaison</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850"/>
        <w:gridCol w:w="2835"/>
        <w:gridCol w:w="2552"/>
      </w:tblGrid>
      <w:tr w:rsidR="00E80B43" w:rsidRPr="00E80B43" w14:paraId="00052B7C" w14:textId="77777777" w:rsidTr="003B3148">
        <w:tc>
          <w:tcPr>
            <w:tcW w:w="3118" w:type="dxa"/>
          </w:tcPr>
          <w:p w14:paraId="30D0CD7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Métrique</w:t>
            </w:r>
          </w:p>
        </w:tc>
        <w:tc>
          <w:tcPr>
            <w:tcW w:w="850" w:type="dxa"/>
          </w:tcPr>
          <w:p w14:paraId="5566985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Unité</w:t>
            </w:r>
          </w:p>
        </w:tc>
        <w:tc>
          <w:tcPr>
            <w:tcW w:w="2835" w:type="dxa"/>
          </w:tcPr>
          <w:p w14:paraId="5BEFDB4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Approche manuelle</w:t>
            </w:r>
          </w:p>
        </w:tc>
        <w:tc>
          <w:tcPr>
            <w:tcW w:w="2552" w:type="dxa"/>
          </w:tcPr>
          <w:p w14:paraId="1BBB6B0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Cible solution</w:t>
            </w:r>
          </w:p>
        </w:tc>
      </w:tr>
      <w:tr w:rsidR="00E80B43" w:rsidRPr="00E80B43" w14:paraId="76A973AD" w14:textId="77777777" w:rsidTr="003B3148">
        <w:tc>
          <w:tcPr>
            <w:tcW w:w="3118" w:type="dxa"/>
          </w:tcPr>
          <w:p w14:paraId="6161DBE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Couverture contrôles ISO 27001</w:t>
            </w:r>
          </w:p>
        </w:tc>
        <w:tc>
          <w:tcPr>
            <w:tcW w:w="850" w:type="dxa"/>
          </w:tcPr>
          <w:p w14:paraId="023E4567"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835" w:type="dxa"/>
          </w:tcPr>
          <w:p w14:paraId="29F933E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100 % (manuel, ponctuel)</w:t>
            </w:r>
          </w:p>
        </w:tc>
        <w:tc>
          <w:tcPr>
            <w:tcW w:w="2552" w:type="dxa"/>
          </w:tcPr>
          <w:p w14:paraId="5848A9D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70 % (auto, continu)</w:t>
            </w:r>
          </w:p>
        </w:tc>
      </w:tr>
      <w:tr w:rsidR="00E80B43" w:rsidRPr="00E80B43" w14:paraId="27D3A6AC" w14:textId="77777777" w:rsidTr="003B3148">
        <w:tc>
          <w:tcPr>
            <w:tcW w:w="3118" w:type="dxa"/>
          </w:tcPr>
          <w:p w14:paraId="5DC79F5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MTTD non-conformité</w:t>
            </w:r>
          </w:p>
        </w:tc>
        <w:tc>
          <w:tcPr>
            <w:tcW w:w="850" w:type="dxa"/>
          </w:tcPr>
          <w:p w14:paraId="4E39CC2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heures</w:t>
            </w:r>
          </w:p>
        </w:tc>
        <w:tc>
          <w:tcPr>
            <w:tcW w:w="2835" w:type="dxa"/>
          </w:tcPr>
          <w:p w14:paraId="1A5A3A2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jours à semaines</w:t>
            </w:r>
          </w:p>
        </w:tc>
        <w:tc>
          <w:tcPr>
            <w:tcW w:w="2552" w:type="dxa"/>
          </w:tcPr>
          <w:p w14:paraId="1274D9C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1 heure</w:t>
            </w:r>
          </w:p>
        </w:tc>
      </w:tr>
      <w:tr w:rsidR="00E80B43" w:rsidRPr="00E80B43" w14:paraId="02C93D65" w14:textId="77777777" w:rsidTr="003B3148">
        <w:tc>
          <w:tcPr>
            <w:tcW w:w="3118" w:type="dxa"/>
          </w:tcPr>
          <w:p w14:paraId="7DADE63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Coût annuel</w:t>
            </w:r>
          </w:p>
        </w:tc>
        <w:tc>
          <w:tcPr>
            <w:tcW w:w="850" w:type="dxa"/>
          </w:tcPr>
          <w:p w14:paraId="136645C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USD</w:t>
            </w:r>
          </w:p>
        </w:tc>
        <w:tc>
          <w:tcPr>
            <w:tcW w:w="2835" w:type="dxa"/>
          </w:tcPr>
          <w:p w14:paraId="5590470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10 000 – 200 000</w:t>
            </w:r>
          </w:p>
        </w:tc>
        <w:tc>
          <w:tcPr>
            <w:tcW w:w="2552" w:type="dxa"/>
          </w:tcPr>
          <w:p w14:paraId="1B00A51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500</w:t>
            </w:r>
          </w:p>
        </w:tc>
      </w:tr>
      <w:tr w:rsidR="00E80B43" w:rsidRPr="00E80B43" w14:paraId="7C340E23" w14:textId="77777777" w:rsidTr="003B3148">
        <w:tc>
          <w:tcPr>
            <w:tcW w:w="3118" w:type="dxa"/>
          </w:tcPr>
          <w:p w14:paraId="7D44F25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Temps préparation audit</w:t>
            </w:r>
          </w:p>
        </w:tc>
        <w:tc>
          <w:tcPr>
            <w:tcW w:w="850" w:type="dxa"/>
          </w:tcPr>
          <w:p w14:paraId="59125C6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heures</w:t>
            </w:r>
          </w:p>
        </w:tc>
        <w:tc>
          <w:tcPr>
            <w:tcW w:w="2835" w:type="dxa"/>
          </w:tcPr>
          <w:p w14:paraId="3070005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40 – 200</w:t>
            </w:r>
          </w:p>
        </w:tc>
        <w:tc>
          <w:tcPr>
            <w:tcW w:w="2552" w:type="dxa"/>
          </w:tcPr>
          <w:p w14:paraId="53C9B51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16</w:t>
            </w:r>
          </w:p>
        </w:tc>
      </w:tr>
      <w:tr w:rsidR="00E80B43" w:rsidRPr="00E80B43" w14:paraId="3F434911" w14:textId="77777777" w:rsidTr="003B3148">
        <w:tc>
          <w:tcPr>
            <w:tcW w:w="3118" w:type="dxa"/>
          </w:tcPr>
          <w:p w14:paraId="740F410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Faux positifs non-conformité</w:t>
            </w:r>
          </w:p>
        </w:tc>
        <w:tc>
          <w:tcPr>
            <w:tcW w:w="850" w:type="dxa"/>
          </w:tcPr>
          <w:p w14:paraId="083FCF7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835" w:type="dxa"/>
          </w:tcPr>
          <w:p w14:paraId="1306DB2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552" w:type="dxa"/>
          </w:tcPr>
          <w:p w14:paraId="09132A1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5 %</w:t>
            </w:r>
          </w:p>
        </w:tc>
      </w:tr>
      <w:tr w:rsidR="00E80B43" w:rsidRPr="00E80B43" w14:paraId="7AA221F4" w14:textId="77777777" w:rsidTr="003B3148">
        <w:tc>
          <w:tcPr>
            <w:tcW w:w="3118" w:type="dxa"/>
          </w:tcPr>
          <w:p w14:paraId="1356E34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Score maturité CMMI-like</w:t>
            </w:r>
          </w:p>
        </w:tc>
        <w:tc>
          <w:tcPr>
            <w:tcW w:w="850" w:type="dxa"/>
          </w:tcPr>
          <w:p w14:paraId="075AB77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5</w:t>
            </w:r>
          </w:p>
        </w:tc>
        <w:tc>
          <w:tcPr>
            <w:tcW w:w="2835" w:type="dxa"/>
          </w:tcPr>
          <w:p w14:paraId="3E3C6C47"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 – 2</w:t>
            </w:r>
          </w:p>
        </w:tc>
        <w:tc>
          <w:tcPr>
            <w:tcW w:w="2552" w:type="dxa"/>
          </w:tcPr>
          <w:p w14:paraId="2F12ADC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3</w:t>
            </w:r>
          </w:p>
        </w:tc>
      </w:tr>
    </w:tbl>
    <w:p w14:paraId="71FDEBCD" w14:textId="77777777" w:rsidR="009C37E0" w:rsidRPr="00E80B43" w:rsidRDefault="00000000" w:rsidP="00023396">
      <w:pPr>
        <w:pStyle w:val="Titre2"/>
        <w:rPr>
          <w:rFonts w:ascii="Times New Roman" w:hAnsi="Times New Roman" w:cs="Times New Roman"/>
          <w:color w:val="auto"/>
        </w:rPr>
      </w:pPr>
      <w:r w:rsidRPr="00E80B43">
        <w:rPr>
          <w:rFonts w:ascii="Times New Roman" w:hAnsi="Times New Roman" w:cs="Times New Roman"/>
          <w:color w:val="auto"/>
        </w:rPr>
        <w:t>I. Impact attendu</w:t>
      </w:r>
    </w:p>
    <w:p w14:paraId="354BFD87"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Démocratisation de la conformité ISO 27001 pour PME, startups et administrations africaines / pays en développement</w:t>
      </w:r>
    </w:p>
    <w:p w14:paraId="3F49E6CE"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Réduction des coûts d'audit de 80–95 % pour les petites structures</w:t>
      </w:r>
    </w:p>
    <w:p w14:paraId="1128409C"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Alignement NIS2 pour les organisations européennes de petite taille</w:t>
      </w:r>
    </w:p>
    <w:p w14:paraId="426D4290" w14:textId="51444F7A" w:rsidR="009C37E0" w:rsidRPr="00E80B43" w:rsidRDefault="00000000" w:rsidP="00023396">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Contribution open source : framework Compliance-as-Code réutilisable, documenté, avec artefacts déployables</w:t>
      </w:r>
    </w:p>
    <w:p w14:paraId="749F648D" w14:textId="77777777" w:rsidR="009C37E0" w:rsidRPr="00E80B43" w:rsidRDefault="00000000" w:rsidP="00023396">
      <w:pPr>
        <w:pStyle w:val="Titre2"/>
        <w:rPr>
          <w:rFonts w:ascii="Times New Roman" w:hAnsi="Times New Roman" w:cs="Times New Roman"/>
          <w:color w:val="auto"/>
        </w:rPr>
      </w:pPr>
      <w:r w:rsidRPr="00E80B43">
        <w:rPr>
          <w:rFonts w:ascii="Times New Roman" w:hAnsi="Times New Roman" w:cs="Times New Roman"/>
          <w:color w:val="auto"/>
        </w:rPr>
        <w:t>J. Mots-clés scientifiques</w:t>
      </w:r>
    </w:p>
    <w:p w14:paraId="21E1780D"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Continuous Compliance · ISO 27001 · NIS2 · OSCAL · Open Policy Agent · Compliance-as-Code · Wazuh · GRC Automation · Low-Cost Governance · Security Metrics</w:t>
      </w:r>
    </w:p>
    <w:p w14:paraId="61C743E4" w14:textId="77777777" w:rsidR="009C37E0" w:rsidRPr="00E80B43" w:rsidRDefault="009C37E0">
      <w:pPr>
        <w:spacing w:after="120"/>
        <w:rPr>
          <w:rFonts w:ascii="Times New Roman" w:hAnsi="Times New Roman" w:cs="Times New Roman"/>
          <w:color w:val="auto"/>
          <w:sz w:val="24"/>
          <w:szCs w:val="24"/>
        </w:rPr>
      </w:pPr>
    </w:p>
    <w:p w14:paraId="3484725F" w14:textId="2DCD84F8" w:rsidR="009C37E0" w:rsidRPr="00E80B43" w:rsidRDefault="009C37E0">
      <w:pPr>
        <w:rPr>
          <w:rFonts w:ascii="Times New Roman" w:hAnsi="Times New Roman" w:cs="Times New Roman"/>
          <w:color w:val="auto"/>
          <w:sz w:val="24"/>
          <w:szCs w:val="24"/>
        </w:rPr>
      </w:pPr>
    </w:p>
    <w:sectPr w:rsidR="009C37E0" w:rsidRPr="00E80B4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632D6" w14:textId="77777777" w:rsidR="001C761B" w:rsidRDefault="001C761B">
      <w:r>
        <w:separator/>
      </w:r>
    </w:p>
  </w:endnote>
  <w:endnote w:type="continuationSeparator" w:id="0">
    <w:p w14:paraId="00AD7C17" w14:textId="77777777" w:rsidR="001C761B" w:rsidRDefault="001C7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0C1E3" w14:textId="77777777" w:rsidR="001C761B" w:rsidRDefault="001C761B">
      <w:r>
        <w:separator/>
      </w:r>
    </w:p>
  </w:footnote>
  <w:footnote w:type="continuationSeparator" w:id="0">
    <w:p w14:paraId="31EA1AA7" w14:textId="77777777" w:rsidR="001C761B" w:rsidRDefault="001C76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808D8"/>
    <w:multiLevelType w:val="hybridMultilevel"/>
    <w:tmpl w:val="CBA88DE8"/>
    <w:lvl w:ilvl="0" w:tplc="83340822">
      <w:start w:val="1"/>
      <w:numFmt w:val="bullet"/>
      <w:lvlText w:val="●"/>
      <w:lvlJc w:val="left"/>
      <w:pPr>
        <w:ind w:left="720" w:hanging="360"/>
      </w:pPr>
    </w:lvl>
    <w:lvl w:ilvl="1" w:tplc="80F02066">
      <w:start w:val="1"/>
      <w:numFmt w:val="bullet"/>
      <w:lvlText w:val="○"/>
      <w:lvlJc w:val="left"/>
      <w:pPr>
        <w:ind w:left="1440" w:hanging="360"/>
      </w:pPr>
    </w:lvl>
    <w:lvl w:ilvl="2" w:tplc="4634C8B4">
      <w:start w:val="1"/>
      <w:numFmt w:val="bullet"/>
      <w:lvlText w:val="■"/>
      <w:lvlJc w:val="left"/>
      <w:pPr>
        <w:ind w:left="2160" w:hanging="360"/>
      </w:pPr>
    </w:lvl>
    <w:lvl w:ilvl="3" w:tplc="2000F30E">
      <w:start w:val="1"/>
      <w:numFmt w:val="bullet"/>
      <w:lvlText w:val="●"/>
      <w:lvlJc w:val="left"/>
      <w:pPr>
        <w:ind w:left="2880" w:hanging="360"/>
      </w:pPr>
    </w:lvl>
    <w:lvl w:ilvl="4" w:tplc="12C46DB0">
      <w:start w:val="1"/>
      <w:numFmt w:val="bullet"/>
      <w:lvlText w:val="○"/>
      <w:lvlJc w:val="left"/>
      <w:pPr>
        <w:ind w:left="3600" w:hanging="360"/>
      </w:pPr>
    </w:lvl>
    <w:lvl w:ilvl="5" w:tplc="55A410FA">
      <w:start w:val="1"/>
      <w:numFmt w:val="bullet"/>
      <w:lvlText w:val="■"/>
      <w:lvlJc w:val="left"/>
      <w:pPr>
        <w:ind w:left="4320" w:hanging="360"/>
      </w:pPr>
    </w:lvl>
    <w:lvl w:ilvl="6" w:tplc="93745940">
      <w:start w:val="1"/>
      <w:numFmt w:val="bullet"/>
      <w:lvlText w:val="●"/>
      <w:lvlJc w:val="left"/>
      <w:pPr>
        <w:ind w:left="5040" w:hanging="360"/>
      </w:pPr>
    </w:lvl>
    <w:lvl w:ilvl="7" w:tplc="577A7772">
      <w:start w:val="1"/>
      <w:numFmt w:val="bullet"/>
      <w:lvlText w:val="●"/>
      <w:lvlJc w:val="left"/>
      <w:pPr>
        <w:ind w:left="5760" w:hanging="360"/>
      </w:pPr>
    </w:lvl>
    <w:lvl w:ilvl="8" w:tplc="EE6C5B96">
      <w:start w:val="1"/>
      <w:numFmt w:val="bullet"/>
      <w:lvlText w:val="●"/>
      <w:lvlJc w:val="left"/>
      <w:pPr>
        <w:ind w:left="6480" w:hanging="360"/>
      </w:pPr>
    </w:lvl>
  </w:abstractNum>
  <w:abstractNum w:abstractNumId="1" w15:restartNumberingAfterBreak="0">
    <w:nsid w:val="3DD265A8"/>
    <w:multiLevelType w:val="hybridMultilevel"/>
    <w:tmpl w:val="7100AD6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3A41C2A"/>
    <w:multiLevelType w:val="hybridMultilevel"/>
    <w:tmpl w:val="520C0B26"/>
    <w:lvl w:ilvl="0" w:tplc="10529672">
      <w:start w:val="1"/>
      <w:numFmt w:val="bullet"/>
      <w:lvlText w:val="▪"/>
      <w:lvlJc w:val="left"/>
      <w:pPr>
        <w:ind w:left="560" w:hanging="280"/>
      </w:pPr>
      <w:rPr>
        <w:color w:val="0072CE"/>
      </w:rPr>
    </w:lvl>
    <w:lvl w:ilvl="1" w:tplc="2B4A04E4">
      <w:start w:val="1"/>
      <w:numFmt w:val="bullet"/>
      <w:lvlText w:val="◦"/>
      <w:lvlJc w:val="left"/>
      <w:pPr>
        <w:ind w:left="1000" w:hanging="280"/>
      </w:pPr>
    </w:lvl>
    <w:lvl w:ilvl="2" w:tplc="0C40779E">
      <w:numFmt w:val="decimal"/>
      <w:lvlText w:val=""/>
      <w:lvlJc w:val="left"/>
    </w:lvl>
    <w:lvl w:ilvl="3" w:tplc="847AD346">
      <w:numFmt w:val="decimal"/>
      <w:lvlText w:val=""/>
      <w:lvlJc w:val="left"/>
    </w:lvl>
    <w:lvl w:ilvl="4" w:tplc="BCEE9E82">
      <w:numFmt w:val="decimal"/>
      <w:lvlText w:val=""/>
      <w:lvlJc w:val="left"/>
    </w:lvl>
    <w:lvl w:ilvl="5" w:tplc="6514441E">
      <w:numFmt w:val="decimal"/>
      <w:lvlText w:val=""/>
      <w:lvlJc w:val="left"/>
    </w:lvl>
    <w:lvl w:ilvl="6" w:tplc="B782AB20">
      <w:numFmt w:val="decimal"/>
      <w:lvlText w:val=""/>
      <w:lvlJc w:val="left"/>
    </w:lvl>
    <w:lvl w:ilvl="7" w:tplc="9C1ECEF0">
      <w:numFmt w:val="decimal"/>
      <w:lvlText w:val=""/>
      <w:lvlJc w:val="left"/>
    </w:lvl>
    <w:lvl w:ilvl="8" w:tplc="47ECB432">
      <w:numFmt w:val="decimal"/>
      <w:lvlText w:val=""/>
      <w:lvlJc w:val="left"/>
    </w:lvl>
  </w:abstractNum>
  <w:num w:numId="1" w16cid:durableId="412355085">
    <w:abstractNumId w:val="0"/>
    <w:lvlOverride w:ilvl="0">
      <w:startOverride w:val="1"/>
    </w:lvlOverride>
  </w:num>
  <w:num w:numId="2" w16cid:durableId="2042169866">
    <w:abstractNumId w:val="2"/>
    <w:lvlOverride w:ilvl="0">
      <w:startOverride w:val="1"/>
    </w:lvlOverride>
  </w:num>
  <w:num w:numId="3" w16cid:durableId="797072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7E0"/>
    <w:rsid w:val="00023396"/>
    <w:rsid w:val="0005169C"/>
    <w:rsid w:val="00144F64"/>
    <w:rsid w:val="00156FB4"/>
    <w:rsid w:val="001C761B"/>
    <w:rsid w:val="002B2D61"/>
    <w:rsid w:val="00323A71"/>
    <w:rsid w:val="00370AF5"/>
    <w:rsid w:val="003B3148"/>
    <w:rsid w:val="005271D3"/>
    <w:rsid w:val="005E1089"/>
    <w:rsid w:val="005E5B52"/>
    <w:rsid w:val="006461C8"/>
    <w:rsid w:val="00654EFB"/>
    <w:rsid w:val="00704FA6"/>
    <w:rsid w:val="00821B6A"/>
    <w:rsid w:val="008A2690"/>
    <w:rsid w:val="00960E1A"/>
    <w:rsid w:val="009C37E0"/>
    <w:rsid w:val="009F6876"/>
    <w:rsid w:val="00A07658"/>
    <w:rsid w:val="00B701A6"/>
    <w:rsid w:val="00C4061B"/>
    <w:rsid w:val="00C806D1"/>
    <w:rsid w:val="00DA268A"/>
    <w:rsid w:val="00E6323D"/>
    <w:rsid w:val="00E633B2"/>
    <w:rsid w:val="00E80B43"/>
    <w:rsid w:val="00F20325"/>
    <w:rsid w:val="00F20FC3"/>
    <w:rsid w:val="00F955E1"/>
    <w:rsid w:val="00FB01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560B2"/>
  <w15:docId w15:val="{3A8878EB-E324-4264-8F7B-3DA1FF32A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2E"/>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rsid w:val="005E5B52"/>
    <w:pPr>
      <w:spacing w:before="320" w:after="120"/>
      <w:outlineLvl w:val="0"/>
    </w:pPr>
    <w:rPr>
      <w:b/>
      <w:bCs/>
      <w:color w:val="4472C4" w:themeColor="accent1"/>
      <w:sz w:val="28"/>
      <w:szCs w:val="28"/>
    </w:rPr>
  </w:style>
  <w:style w:type="paragraph" w:styleId="Titre2">
    <w:name w:val="heading 2"/>
    <w:link w:val="Titre2Car"/>
    <w:uiPriority w:val="9"/>
    <w:unhideWhenUsed/>
    <w:qFormat/>
    <w:pPr>
      <w:spacing w:before="260" w:after="80"/>
      <w:outlineLvl w:val="1"/>
    </w:pPr>
    <w:rPr>
      <w:b/>
      <w:bCs/>
      <w:color w:val="012B50"/>
      <w:sz w:val="24"/>
      <w:szCs w:val="24"/>
    </w:rPr>
  </w:style>
  <w:style w:type="paragraph" w:styleId="Titre3">
    <w:name w:val="heading 3"/>
    <w:uiPriority w:val="9"/>
    <w:unhideWhenUsed/>
    <w:qFormat/>
    <w:pPr>
      <w:spacing w:before="200" w:after="60"/>
      <w:outlineLvl w:val="2"/>
    </w:pPr>
    <w:rPr>
      <w:b/>
      <w:bCs/>
      <w:color w:val="0072CE"/>
      <w:sz w:val="22"/>
      <w:szCs w:val="22"/>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Strong1">
    <w:name w:val="Strong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5E5B52"/>
    <w:pPr>
      <w:tabs>
        <w:tab w:val="center" w:pos="4536"/>
        <w:tab w:val="right" w:pos="9072"/>
      </w:tabs>
    </w:pPr>
  </w:style>
  <w:style w:type="character" w:customStyle="1" w:styleId="En-tteCar">
    <w:name w:val="En-tête Car"/>
    <w:basedOn w:val="Policepardfaut"/>
    <w:link w:val="En-tte"/>
    <w:uiPriority w:val="99"/>
    <w:rsid w:val="005E5B52"/>
  </w:style>
  <w:style w:type="paragraph" w:styleId="Pieddepage">
    <w:name w:val="footer"/>
    <w:basedOn w:val="Normal"/>
    <w:link w:val="PieddepageCar"/>
    <w:uiPriority w:val="99"/>
    <w:unhideWhenUsed/>
    <w:rsid w:val="005E5B52"/>
    <w:pPr>
      <w:tabs>
        <w:tab w:val="center" w:pos="4536"/>
        <w:tab w:val="right" w:pos="9072"/>
      </w:tabs>
    </w:pPr>
  </w:style>
  <w:style w:type="character" w:customStyle="1" w:styleId="PieddepageCar">
    <w:name w:val="Pied de page Car"/>
    <w:basedOn w:val="Policepardfaut"/>
    <w:link w:val="Pieddepage"/>
    <w:uiPriority w:val="99"/>
    <w:rsid w:val="005E5B52"/>
  </w:style>
  <w:style w:type="character" w:customStyle="1" w:styleId="Titre2Car">
    <w:name w:val="Titre 2 Car"/>
    <w:basedOn w:val="Policepardfaut"/>
    <w:link w:val="Titre2"/>
    <w:uiPriority w:val="9"/>
    <w:rsid w:val="00F955E1"/>
    <w:rPr>
      <w:b/>
      <w:bCs/>
      <w:color w:val="012B5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13</Pages>
  <Words>4034</Words>
  <Characters>22189</Characters>
  <Application>Microsoft Office Word</Application>
  <DocSecurity>0</DocSecurity>
  <Lines>184</Lines>
  <Paragraphs>52</Paragraphs>
  <ScaleCrop>false</ScaleCrop>
  <Company/>
  <LinksUpToDate>false</LinksUpToDate>
  <CharactersWithSpaces>26171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7</cp:revision>
  <dcterms:created xsi:type="dcterms:W3CDTF">2026-04-20T21:48:00Z</dcterms:created>
  <dcterms:modified xsi:type="dcterms:W3CDTF">2026-04-21T12:08:00Z</dcterms:modified>
</cp:coreProperties>
</file>